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למשרת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17-2025 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bookmarkStart w:colFirst="0" w:colLast="0" w:name="_heading=h.lqzg1mrai09s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לאיוש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משרת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מחלקת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ומשאבי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אנוש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מזמינה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העומדים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בקריטריונים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המופיעים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מחלקת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ומשאבי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אנוש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מיקום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המשרה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כפיפות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המשרה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left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תחילת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מיידית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כפיפות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כספים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תיאור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תחומי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הרכש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ומשאבי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האנוש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הובלת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מדיניות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תהליכים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ושיפור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מתמיד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הובלת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תהליכי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גיוס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קליטה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הדרכה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ופיתוח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לנהלי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הרשות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הממשלתית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וביוב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ולהסכמי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רווחת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ייזום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והפקת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אירועים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לגמלאים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ותוכניות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רווחה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לתקציב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המאושר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ליווי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המנהלים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בתאגיד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הקשור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ההון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האנושי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מנהלים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תמיכה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בתהליכי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ארגוני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והובלת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הרכש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כתיבת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נהלים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הליכי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התקשרות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פרסום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משא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ומתן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עריכת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בקרה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תקציבית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וביקורות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בחוזים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ערבויות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וביטוחים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שיתוף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פעולה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המחלקה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ועמידה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בדרישות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חובת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המכרזים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ותקנותיו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השתתפות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פעילה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בוועדות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פרוטוקולים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סיכומים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ופרסומים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לנוהל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להנחיות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הנהלה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דרישות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סף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תואר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תעודת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מקצוע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מוכרת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בתחומים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משאבי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אנוש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עסקים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חשבות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שכר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לוגיסטיקה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שנתיים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באחד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מהתחומים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גיוס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הדרכה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ארגוני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מוכח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בכפיפות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ביישומי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בדגש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0"/>
        </w:rPr>
        <w:t xml:space="preserve">Excel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רכש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והתקשרויות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בביצוע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הליכי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בקשות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להצעות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מחיר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משא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ומתן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ספקים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תקנות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חובת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המכרזים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דיני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חוזים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ונוהלי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התקשרות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בגופים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ציבוריים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גיבוש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מפרטים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טכניים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ומעקב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אספקות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תשלומים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ובקרת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תקציב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משאבי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אנוש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בהובלת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תהליכי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גיוס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קליטה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הדרכה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ורווחת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ביחסי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וגורמים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חיצוניים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כגון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חברות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השמה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יועצי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’).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דיני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הסכמים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קיבוציים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תקנות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העסקה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ומדיניות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תגמול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והובלת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צוות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ישיר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ריכוז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02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האצלת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סמכויות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קביעת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יעדים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ובקרה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bidi w:val="1"/>
        <w:spacing w:line="360" w:lineRule="auto"/>
        <w:ind w:left="282" w:right="-142" w:hanging="284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ניהולי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מוכח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בכפיפות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המועמדויות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בצירוף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ממליצים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תעודות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השכלה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ופירוט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מספרי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הטלפון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ליצירת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עימם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אלקטרוני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לדוא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2F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sz w:val="32"/>
            <w:szCs w:val="32"/>
            <w:u w:val="single"/>
            <w:rtl w:val="0"/>
          </w:rPr>
          <w:t xml:space="preserve">office@palgey-sharon.co.il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10/11/2025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12:00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תוגש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כמפורט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תישלח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פקס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מובהר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הועדה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להתקשר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לזמן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לראיונות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שיראו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המתאימים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התרשמותה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שיוגשו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לממליצים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להחלטת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הוועדה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לשלוח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שתמצא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לנכון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למבחני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התאמה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תקיים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ראיונות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התרשמות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line="360" w:lineRule="auto"/>
        <w:ind w:left="72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ההעסקה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יקבעו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למסגרת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המאושרת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הממונה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והממונה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השכר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במשרד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האוצר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ויעוגנו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בחוזה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שומר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הזכות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לעדכן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לבטל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הליך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בהודעה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palgey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sharon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לשונית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המשרה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לגברים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ולנשים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כאחד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ונוסחה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בלשון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זכר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מטעמי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נוחות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line="360" w:lineRule="auto"/>
        <w:ind w:left="72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,</w:t>
      </w:r>
    </w:p>
    <w:p w:rsidR="00000000" w:rsidDel="00000000" w:rsidP="00000000" w:rsidRDefault="00000000" w:rsidRPr="00000000" w14:paraId="0000003F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sectPr>
      <w:headerReference r:id="rId8" w:type="default"/>
      <w:footerReference r:id="rId9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bidi w:val="1"/>
      <w:spacing w:after="120" w:line="360" w:lineRule="auto"/>
      <w:ind w:right="-720"/>
      <w:jc w:val="left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בע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מ</w:t>
    </w:r>
  </w:p>
  <w:p w:rsidR="00000000" w:rsidDel="00000000" w:rsidP="00000000" w:rsidRDefault="00000000" w:rsidRPr="00000000" w14:paraId="00000043">
    <w:pPr>
      <w:bidi w:val="1"/>
      <w:spacing w:after="120" w:line="360" w:lineRule="auto"/>
      <w:ind w:right="-720"/>
      <w:jc w:val="left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מייסודן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עריית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רעננה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והמועצה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המקומית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כוכב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יאיר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-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צור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יגאל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בע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מ</w:t>
    </w:r>
  </w:p>
  <w:p w:rsidR="00000000" w:rsidDel="00000000" w:rsidP="00000000" w:rsidRDefault="00000000" w:rsidRPr="00000000" w14:paraId="00000044">
    <w:pPr>
      <w:bidi w:val="1"/>
      <w:spacing w:after="120" w:line="360" w:lineRule="auto"/>
      <w:ind w:right="-720"/>
      <w:jc w:val="left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התע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ש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11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442511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ת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.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ד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2034 |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טלפון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 09-7655521 | 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פקס</w:t>
    </w:r>
    <w:r w:rsidDel="00000000" w:rsidR="00000000" w:rsidRPr="00000000">
      <w:rPr>
        <w:rFonts w:ascii="Arial" w:cs="Arial" w:eastAsia="Arial" w:hAnsi="Arial"/>
        <w:sz w:val="28"/>
        <w:szCs w:val="28"/>
        <w:rtl w:val="1"/>
      </w:rPr>
      <w:t xml:space="preserve">. 09-7655529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יש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רק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אחת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כזו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52"/>
      <w:numFmt w:val="bullet"/>
      <w:lvlText w:val="-"/>
      <w:lvlJc w:val="left"/>
      <w:pPr>
        <w:ind w:left="1002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52"/>
      <w:numFmt w:val="bullet"/>
      <w:lvlText w:val="-"/>
      <w:lvlJc w:val="left"/>
      <w:pPr>
        <w:ind w:left="1002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52"/>
      <w:numFmt w:val="bullet"/>
      <w:lvlText w:val="-"/>
      <w:lvlJc w:val="left"/>
      <w:pPr>
        <w:ind w:left="1002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bidi w:val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rsid w:val="002E6C9B"/>
    <w:rPr>
      <w:sz w:val="16"/>
      <w:szCs w:val="16"/>
    </w:rPr>
  </w:style>
  <w:style w:type="paragraph" w:styleId="a4">
    <w:name w:val="annotation text"/>
    <w:basedOn w:val="a"/>
    <w:link w:val="a5"/>
    <w:rsid w:val="002E6C9B"/>
    <w:rPr>
      <w:sz w:val="20"/>
      <w:szCs w:val="20"/>
    </w:rPr>
  </w:style>
  <w:style w:type="character" w:styleId="a5" w:customStyle="1">
    <w:name w:val="טקסט הערה תו"/>
    <w:basedOn w:val="a0"/>
    <w:link w:val="a4"/>
    <w:rsid w:val="002E6C9B"/>
    <w:rPr>
      <w:rFonts w:ascii="Times New Roman" w:cs="David" w:eastAsia="Times New Roman" w:hAnsi="Times New Roman"/>
      <w:sz w:val="20"/>
      <w:szCs w:val="20"/>
      <w:lang w:eastAsia="he-IL"/>
    </w:rPr>
  </w:style>
  <w:style w:type="paragraph" w:styleId="a6">
    <w:name w:val="Balloon Text"/>
    <w:basedOn w:val="a"/>
    <w:link w:val="a7"/>
    <w:uiPriority w:val="99"/>
    <w:semiHidden w:val="1"/>
    <w:unhideWhenUsed w:val="1"/>
    <w:rsid w:val="002E6C9B"/>
    <w:rPr>
      <w:rFonts w:ascii="Tahoma" w:cs="Tahoma" w:hAnsi="Tahoma"/>
      <w:sz w:val="18"/>
      <w:szCs w:val="18"/>
    </w:rPr>
  </w:style>
  <w:style w:type="character" w:styleId="a7" w:customStyle="1">
    <w:name w:val="טקסט בלונים תו"/>
    <w:basedOn w:val="a0"/>
    <w:link w:val="a6"/>
    <w:uiPriority w:val="99"/>
    <w:semiHidden w:val="1"/>
    <w:rsid w:val="002E6C9B"/>
    <w:rPr>
      <w:rFonts w:ascii="Tahoma" w:cs="Tahoma" w:eastAsia="Times New Roman" w:hAnsi="Tahoma"/>
      <w:sz w:val="18"/>
      <w:szCs w:val="18"/>
      <w:lang w:eastAsia="he-IL"/>
    </w:rPr>
  </w:style>
  <w:style w:type="paragraph" w:styleId="a8">
    <w:name w:val="annotation subject"/>
    <w:basedOn w:val="a4"/>
    <w:next w:val="a4"/>
    <w:link w:val="a9"/>
    <w:uiPriority w:val="99"/>
    <w:semiHidden w:val="1"/>
    <w:unhideWhenUsed w:val="1"/>
    <w:rsid w:val="00774529"/>
    <w:rPr>
      <w:b w:val="1"/>
      <w:bCs w:val="1"/>
    </w:rPr>
  </w:style>
  <w:style w:type="character" w:styleId="a9" w:customStyle="1">
    <w:name w:val="נושא הערה תו"/>
    <w:basedOn w:val="a5"/>
    <w:link w:val="a8"/>
    <w:uiPriority w:val="99"/>
    <w:semiHidden w:val="1"/>
    <w:rsid w:val="00774529"/>
    <w:rPr>
      <w:rFonts w:ascii="Times New Roman" w:cs="David" w:eastAsia="Times New Roman" w:hAnsi="Times New Roman"/>
      <w:b w:val="1"/>
      <w:bCs w:val="1"/>
      <w:sz w:val="20"/>
      <w:szCs w:val="20"/>
      <w:lang w:eastAsia="he-IL"/>
    </w:rPr>
  </w:style>
  <w:style w:type="paragraph" w:styleId="aa">
    <w:name w:val="List Paragraph"/>
    <w:basedOn w:val="a"/>
    <w:uiPriority w:val="34"/>
    <w:qFormat w:val="1"/>
    <w:rsid w:val="00774529"/>
    <w:pPr>
      <w:ind w:left="720"/>
      <w:contextualSpacing w:val="1"/>
    </w:pPr>
  </w:style>
  <w:style w:type="paragraph" w:styleId="ab">
    <w:name w:val="header"/>
    <w:basedOn w:val="a"/>
    <w:link w:val="ac"/>
    <w:uiPriority w:val="99"/>
    <w:unhideWhenUsed w:val="1"/>
    <w:rsid w:val="002E548A"/>
    <w:pPr>
      <w:tabs>
        <w:tab w:val="center" w:pos="4153"/>
        <w:tab w:val="right" w:pos="8306"/>
      </w:tabs>
    </w:pPr>
  </w:style>
  <w:style w:type="character" w:styleId="ac" w:customStyle="1">
    <w:name w:val="כותרת עליונה תו"/>
    <w:basedOn w:val="a0"/>
    <w:link w:val="ab"/>
    <w:uiPriority w:val="99"/>
    <w:rsid w:val="002E548A"/>
    <w:rPr>
      <w:rFonts w:ascii="Times New Roman" w:cs="David" w:eastAsia="Times New Roman" w:hAnsi="Times New Roman"/>
      <w:szCs w:val="24"/>
      <w:lang w:eastAsia="he-IL"/>
    </w:rPr>
  </w:style>
  <w:style w:type="paragraph" w:styleId="ad">
    <w:name w:val="footer"/>
    <w:basedOn w:val="a"/>
    <w:link w:val="ae"/>
    <w:uiPriority w:val="99"/>
    <w:unhideWhenUsed w:val="1"/>
    <w:rsid w:val="002E548A"/>
    <w:pPr>
      <w:tabs>
        <w:tab w:val="center" w:pos="4153"/>
        <w:tab w:val="right" w:pos="8306"/>
      </w:tabs>
    </w:pPr>
  </w:style>
  <w:style w:type="character" w:styleId="ae" w:customStyle="1">
    <w:name w:val="כותרת תחתונה תו"/>
    <w:basedOn w:val="a0"/>
    <w:link w:val="ad"/>
    <w:uiPriority w:val="99"/>
    <w:rsid w:val="002E548A"/>
    <w:rPr>
      <w:rFonts w:ascii="Times New Roman" w:cs="David" w:eastAsia="Times New Roman" w:hAnsi="Times New Roman"/>
      <w:szCs w:val="24"/>
      <w:lang w:eastAsia="he-IL"/>
    </w:rPr>
  </w:style>
  <w:style w:type="paragraph" w:styleId="NormalWeb">
    <w:name w:val="Normal (Web)"/>
    <w:basedOn w:val="a"/>
    <w:uiPriority w:val="99"/>
    <w:semiHidden w:val="1"/>
    <w:unhideWhenUsed w:val="1"/>
    <w:rsid w:val="003B388C"/>
    <w:rPr>
      <w:rFonts w:cs="Times New Roman"/>
      <w:sz w:val="24"/>
    </w:rPr>
  </w:style>
  <w:style w:type="character" w:styleId="Hyperlink">
    <w:name w:val="Hyperlink"/>
    <w:basedOn w:val="a0"/>
    <w:uiPriority w:val="99"/>
    <w:unhideWhenUsed w:val="1"/>
    <w:rsid w:val="00B73BF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B73BF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palgey-sharon.co.i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fOdhOPZAxg9RzWMXkNXwH0c1g==">CgMxLjAyDmgubHF6ZzFtcmFpMDlzOAByITFmdmhfbmdVUlFVODA3MDJ5Wm1aR1FKNWNENjVtYU5xWg==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2025-10-16T09:54:00Z</dcterms:created>
  <dc:creator>Kobi</dc:creator>
</cp:coreProperties>
</file>