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26/2025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ולסחיטת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רציף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). 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מלאה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ומפרידי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חיטוי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משביתות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וסטאטוס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השכלה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חשמל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ברציפות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3* 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למועמד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630*3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יוזמה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מועמדות</w:t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31/12/2025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tenders@palgey-sharon.co.il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26/2025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153"/>
        <w:tab w:val="right" w:leader="none" w:pos="8306"/>
      </w:tabs>
      <w:bidi w:val="1"/>
      <w:spacing w:after="0" w:line="360" w:lineRule="auto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תאגיד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D">
    <w:pPr>
      <w:tabs>
        <w:tab w:val="center" w:leader="none" w:pos="4153"/>
        <w:tab w:val="right" w:leader="none" w:pos="8306"/>
      </w:tabs>
      <w:spacing w:after="0" w:line="360" w:lineRule="auto"/>
      <w:jc w:val="right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Maya</w:t>
    </w:r>
    <w:r w:rsidDel="00000000" w:rsidR="00000000" w:rsidRPr="00000000">
      <w:rPr>
        <w:sz w:val="32"/>
        <w:szCs w:val="32"/>
        <w:rtl w:val="0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מיה</w:t>
    </w:r>
    <w:r w:rsidDel="00000000" w:rsidR="00000000" w:rsidRPr="00000000">
      <w:rPr>
        <w:sz w:val="32"/>
        <w:szCs w:val="32"/>
        <w:rtl w:val="1"/>
      </w:rPr>
      <w:t xml:space="preserve">- </w:t>
    </w:r>
    <w:r w:rsidDel="00000000" w:rsidR="00000000" w:rsidRPr="00000000">
      <w:rPr>
        <w:sz w:val="32"/>
        <w:szCs w:val="32"/>
        <w:rtl w:val="1"/>
      </w:rPr>
      <w:t xml:space="preserve">המים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הוד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81D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81D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881D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881D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881D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881D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881DF6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881DF6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881DF6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881DF6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881DF6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881D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881D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881D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881DF6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881DF6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881DF6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881D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881DF6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881DF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881DF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881DF6"/>
    <w:rPr>
      <w:color w:val="605e5c"/>
      <w:shd w:color="auto" w:fill="e1dfdd" w:val="clear"/>
    </w:rPr>
  </w:style>
  <w:style w:type="paragraph" w:styleId="af">
    <w:name w:val="header"/>
    <w:basedOn w:val="a"/>
    <w:link w:val="af0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ED0BEE"/>
  </w:style>
  <w:style w:type="paragraph" w:styleId="af1">
    <w:name w:val="footer"/>
    <w:basedOn w:val="a"/>
    <w:link w:val="af2"/>
    <w:uiPriority w:val="99"/>
    <w:unhideWhenUsed w:val="1"/>
    <w:rsid w:val="00ED0BEE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תחתונה תו"/>
    <w:basedOn w:val="a0"/>
    <w:link w:val="af1"/>
    <w:uiPriority w:val="99"/>
    <w:rsid w:val="00ED0BE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sUZxtbYPQH2768QzWu2P8BD8A==">CgMxLjA4AHIhMUVmU3VkV2hEOFd3dUw1R05MYW95OU1TbkkzWlB0NDBT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2025-04-28T08:01:00Z</dcterms:created>
  <dc:creator>Almog Yehezkel</dc:creator>
</cp:coreProperties>
</file>