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before="80" w:line="360" w:lineRule="auto"/>
        <w:ind w:left="160" w:firstLine="0"/>
        <w:rPr>
          <w:sz w:val="32"/>
          <w:szCs w:val="32"/>
        </w:rPr>
      </w:pPr>
      <w:hyperlink r:id="rId6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מכרז</w:t>
        </w:r>
      </w:hyperlink>
      <w:hyperlink r:id="rId7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פומבי</w:t>
        </w:r>
      </w:hyperlink>
      <w:hyperlink r:id="rId9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מס</w:t>
        </w:r>
      </w:hyperlink>
      <w:hyperlink r:id="rId11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' </w:t>
        </w:r>
      </w:hyperlink>
      <w:r w:rsidDel="00000000" w:rsidR="00000000" w:rsidRPr="00000000">
        <w:rPr>
          <w:sz w:val="32"/>
          <w:szCs w:val="32"/>
          <w:rtl w:val="0"/>
        </w:rPr>
        <w:t xml:space="preserve">03/2020</w:t>
      </w:r>
      <w:hyperlink r:id="rId12">
        <w:r w:rsidDel="00000000" w:rsidR="00000000" w:rsidRPr="00000000">
          <w:rPr>
            <w:rtl w:val="0"/>
          </w:rPr>
        </w:r>
      </w:hyperlink>
      <w:hyperlink r:id="rId13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לביצוע</w:t>
        </w:r>
      </w:hyperlink>
      <w:hyperlink r:id="rId15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ניקוי</w:t>
        </w:r>
      </w:hyperlink>
      <w:hyperlink r:id="rId17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, </w:t>
        </w:r>
      </w:hyperlink>
      <w:hyperlink r:id="rId18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שטיפה</w:t>
        </w:r>
      </w:hyperlink>
      <w:hyperlink r:id="rId19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וצילום</w:t>
        </w:r>
      </w:hyperlink>
      <w:hyperlink r:id="rId21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קו</w:t>
        </w:r>
      </w:hyperlink>
      <w:hyperlink r:id="rId23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מאסף</w:t>
        </w:r>
      </w:hyperlink>
      <w:hyperlink r:id="rId25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שפכים</w:t>
        </w:r>
      </w:hyperlink>
      <w:hyperlink r:id="rId27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28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ראשי</w:t>
        </w:r>
      </w:hyperlink>
      <w:hyperlink r:id="rId29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למט</w:t>
        </w:r>
      </w:hyperlink>
      <w:hyperlink r:id="rId31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"</w:t>
        </w:r>
      </w:hyperlink>
      <w:hyperlink r:id="rId32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ש</w:t>
        </w:r>
      </w:hyperlink>
      <w:hyperlink r:id="rId33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כפר</w:t>
        </w:r>
      </w:hyperlink>
      <w:hyperlink r:id="rId35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סבא</w:t>
        </w:r>
      </w:hyperlink>
      <w:hyperlink r:id="rId37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הוד</w:t>
        </w:r>
      </w:hyperlink>
      <w:hyperlink r:id="rId39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sz w:val="32"/>
            <w:szCs w:val="32"/>
            <w:u w:val="single"/>
            <w:rtl w:val="1"/>
          </w:rPr>
          <w:t xml:space="preserve">השרון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מזמינים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פומבי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03/2020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ניקוי</w:t>
      </w:r>
      <w:r w:rsidDel="00000000" w:rsidR="00000000" w:rsidRPr="00000000">
        <w:rPr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שטיפה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וצילום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קו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מאסף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שפכים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למט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: "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b w:val="1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תיאור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הנדרשת</w:t>
      </w:r>
    </w:p>
    <w:p w:rsidR="00000000" w:rsidDel="00000000" w:rsidP="00000000" w:rsidRDefault="00000000" w:rsidRPr="00000000" w14:paraId="0000000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המציע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הזוכה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שקוטרו</w:t>
      </w:r>
      <w:r w:rsidDel="00000000" w:rsidR="00000000" w:rsidRPr="00000000">
        <w:rPr>
          <w:sz w:val="32"/>
          <w:szCs w:val="32"/>
          <w:rtl w:val="1"/>
        </w:rPr>
        <w:t xml:space="preserve"> 1,250 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ואורכו</w:t>
      </w:r>
      <w:r w:rsidDel="00000000" w:rsidR="00000000" w:rsidRPr="00000000">
        <w:rPr>
          <w:sz w:val="32"/>
          <w:szCs w:val="32"/>
          <w:rtl w:val="1"/>
        </w:rPr>
        <w:t xml:space="preserve"> 750 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'. </w:t>
      </w:r>
      <w:r w:rsidDel="00000000" w:rsidR="00000000" w:rsidRPr="00000000">
        <w:rPr>
          <w:sz w:val="32"/>
          <w:szCs w:val="32"/>
          <w:rtl w:val="1"/>
        </w:rPr>
        <w:t xml:space="preserve">המקטע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הקטע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הדרומי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המונח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במקביל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לכביש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הגישה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טיהור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השפכים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קטע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במגבלות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24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הלילה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הספיקות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נמוכות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משמעותית</w:t>
      </w:r>
      <w:r w:rsidDel="00000000" w:rsidR="00000000" w:rsidRPr="00000000">
        <w:rPr>
          <w:sz w:val="32"/>
          <w:szCs w:val="32"/>
          <w:rtl w:val="1"/>
        </w:rPr>
        <w:t xml:space="preserve">.(</w:t>
      </w:r>
      <w:r w:rsidDel="00000000" w:rsidR="00000000" w:rsidRPr="00000000">
        <w:rPr>
          <w:sz w:val="32"/>
          <w:szCs w:val="32"/>
          <w:rtl w:val="1"/>
        </w:rPr>
        <w:t xml:space="preserve">בסביבות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השעה</w:t>
      </w:r>
      <w:r w:rsidDel="00000000" w:rsidR="00000000" w:rsidRPr="00000000">
        <w:rPr>
          <w:sz w:val="32"/>
          <w:szCs w:val="32"/>
          <w:rtl w:val="1"/>
        </w:rPr>
        <w:t xml:space="preserve"> 1:00)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יתאפשר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שטיפה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למורד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מחשש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לכניסת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לגרום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לבעיות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תפעוליות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סתימה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שתיווצר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במתקני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כתוצאה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תיפתח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ובכלל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סתימה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באגני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גרוסת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מגובים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מתקני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הסמכה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שיידרש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שתוצא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תפונה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לנקודה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מוסכמת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להיערך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מקרה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למצבי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גלישת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שאיבה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ותוכנית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פעולה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למניעת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סיכוי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לזיהום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סביבת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בשפכים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תבוצע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הבוקר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המוקדמות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הספיקה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גדלה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בסביבות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השעה</w:t>
      </w:r>
      <w:r w:rsidDel="00000000" w:rsidR="00000000" w:rsidRPr="00000000">
        <w:rPr>
          <w:sz w:val="32"/>
          <w:szCs w:val="32"/>
          <w:rtl w:val="1"/>
        </w:rPr>
        <w:t xml:space="preserve"> 06:00).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כניסה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מיידית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יאוחר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משבועיים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ההכרזה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הזוכה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0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בסוף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ובתחילתה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באמצעות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צילום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קטע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הניקוי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זמנים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30 </w:t>
      </w:r>
      <w:r w:rsidDel="00000000" w:rsidR="00000000" w:rsidRPr="00000000">
        <w:rPr>
          <w:sz w:val="32"/>
          <w:szCs w:val="32"/>
          <w:rtl w:val="1"/>
        </w:rPr>
        <w:t xml:space="preserve">ימי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רשאים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להשתתף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רשאים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להשתתף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מציעים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המצטברים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הבאים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24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תושב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משפטי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שותפות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הרשומה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כדין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בישראל</w:t>
      </w:r>
      <w:r w:rsidDel="00000000" w:rsidR="00000000" w:rsidRPr="00000000">
        <w:rPr>
          <w:sz w:val="32"/>
          <w:szCs w:val="32"/>
          <w:rtl w:val="1"/>
        </w:rPr>
        <w:t xml:space="preserve">). </w:t>
      </w:r>
      <w:r w:rsidDel="00000000" w:rsidR="00000000" w:rsidRPr="00000000">
        <w:rPr>
          <w:sz w:val="32"/>
          <w:szCs w:val="32"/>
          <w:rtl w:val="1"/>
        </w:rPr>
        <w:t xml:space="preserve">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תוגש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כאמור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תיפסל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ניסיון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מוכח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המעוגן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באסמכתאות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בשלוש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שטיפת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קווי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בקוטר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600 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ומעלה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בחמישה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אתרים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הסמכה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כמעבדה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לצילום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צנרת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ברשותו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אצירה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משאבות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ביוביות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כלי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רכב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מצלמת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רובוט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והציוד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ניקוי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ביוב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0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מנהל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ספרים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עפ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עסקאות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גופים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לאמור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מנהלתיים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24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סיור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יתקיים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23/08/2020 </w:t>
      </w:r>
      <w:r w:rsidDel="00000000" w:rsidR="00000000" w:rsidRPr="00000000">
        <w:rPr>
          <w:sz w:val="32"/>
          <w:szCs w:val="32"/>
          <w:rtl w:val="1"/>
        </w:rPr>
        <w:t xml:space="preserve">בשעה</w:t>
      </w:r>
      <w:r w:rsidDel="00000000" w:rsidR="00000000" w:rsidRPr="00000000">
        <w:rPr>
          <w:sz w:val="32"/>
          <w:szCs w:val="32"/>
          <w:rtl w:val="1"/>
        </w:rPr>
        <w:t xml:space="preserve"> 13:00 </w:t>
      </w:r>
      <w:r w:rsidDel="00000000" w:rsidR="00000000" w:rsidRPr="00000000">
        <w:rPr>
          <w:sz w:val="32"/>
          <w:szCs w:val="32"/>
          <w:rtl w:val="1"/>
        </w:rPr>
        <w:t xml:space="preserve">במשרד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ברחוב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22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בסיור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חובה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06/09/2020 </w:t>
      </w: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שעה</w:t>
      </w:r>
      <w:r w:rsidDel="00000000" w:rsidR="00000000" w:rsidRPr="00000000">
        <w:rPr>
          <w:sz w:val="32"/>
          <w:szCs w:val="32"/>
          <w:rtl w:val="1"/>
        </w:rPr>
        <w:t xml:space="preserve"> 12:00.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ברח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22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מיום</w:t>
      </w:r>
      <w:r w:rsidDel="00000000" w:rsidR="00000000" w:rsidRPr="00000000">
        <w:rPr>
          <w:sz w:val="32"/>
          <w:szCs w:val="32"/>
          <w:rtl w:val="1"/>
        </w:rPr>
        <w:t xml:space="preserve"> 13/08/2020 </w:t>
      </w:r>
      <w:r w:rsidDel="00000000" w:rsidR="00000000" w:rsidRPr="00000000">
        <w:rPr>
          <w:sz w:val="32"/>
          <w:szCs w:val="32"/>
          <w:rtl w:val="1"/>
        </w:rPr>
        <w:t xml:space="preserve">בימים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' - </w:t>
      </w:r>
      <w:r w:rsidDel="00000000" w:rsidR="00000000" w:rsidRPr="00000000">
        <w:rPr>
          <w:sz w:val="32"/>
          <w:szCs w:val="32"/>
          <w:rtl w:val="1"/>
        </w:rPr>
        <w:t xml:space="preserve">ה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השעות</w:t>
      </w:r>
      <w:r w:rsidDel="00000000" w:rsidR="00000000" w:rsidRPr="00000000">
        <w:rPr>
          <w:sz w:val="32"/>
          <w:szCs w:val="32"/>
          <w:rtl w:val="1"/>
        </w:rPr>
        <w:t xml:space="preserve"> 09:00-15:00.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לפרטים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למהנדס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ארנון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מאיר</w:t>
      </w:r>
      <w:r w:rsidDel="00000000" w:rsidR="00000000" w:rsidRPr="00000000">
        <w:rPr>
          <w:sz w:val="32"/>
          <w:szCs w:val="32"/>
          <w:rtl w:val="1"/>
        </w:rPr>
        <w:t xml:space="preserve"> 054-6650273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09-7655527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0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318359375" w:line="360" w:lineRule="auto"/>
        <w:ind w:left="7005.8404541015625" w:right="53.360595703125" w:hanging="7004.7204589843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52.7999877929688" w:top="720" w:left="1418.0000305175781" w:right="1741.839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rchive.palgey-sharon.co.il/2020-03" TargetMode="External"/><Relationship Id="rId20" Type="http://schemas.openxmlformats.org/officeDocument/2006/relationships/hyperlink" Target="https://archive.palgey-sharon.co.il/2020-03" TargetMode="External"/><Relationship Id="rId22" Type="http://schemas.openxmlformats.org/officeDocument/2006/relationships/hyperlink" Target="https://archive.palgey-sharon.co.il/2020-03" TargetMode="External"/><Relationship Id="rId21" Type="http://schemas.openxmlformats.org/officeDocument/2006/relationships/hyperlink" Target="https://archive.palgey-sharon.co.il/2020-03" TargetMode="External"/><Relationship Id="rId24" Type="http://schemas.openxmlformats.org/officeDocument/2006/relationships/hyperlink" Target="https://archive.palgey-sharon.co.il/2020-03" TargetMode="External"/><Relationship Id="rId23" Type="http://schemas.openxmlformats.org/officeDocument/2006/relationships/hyperlink" Target="https://archive.palgey-sharon.co.il/2020-0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chive.palgey-sharon.co.il/2020-03" TargetMode="External"/><Relationship Id="rId26" Type="http://schemas.openxmlformats.org/officeDocument/2006/relationships/hyperlink" Target="https://archive.palgey-sharon.co.il/2020-03" TargetMode="External"/><Relationship Id="rId25" Type="http://schemas.openxmlformats.org/officeDocument/2006/relationships/hyperlink" Target="https://archive.palgey-sharon.co.il/2020-03" TargetMode="External"/><Relationship Id="rId28" Type="http://schemas.openxmlformats.org/officeDocument/2006/relationships/hyperlink" Target="https://archive.palgey-sharon.co.il/2020-03" TargetMode="External"/><Relationship Id="rId27" Type="http://schemas.openxmlformats.org/officeDocument/2006/relationships/hyperlink" Target="https://archive.palgey-sharon.co.il/2020-03" TargetMode="External"/><Relationship Id="rId5" Type="http://schemas.openxmlformats.org/officeDocument/2006/relationships/styles" Target="styles.xml"/><Relationship Id="rId6" Type="http://schemas.openxmlformats.org/officeDocument/2006/relationships/hyperlink" Target="https://archive.palgey-sharon.co.il/2020-03" TargetMode="External"/><Relationship Id="rId29" Type="http://schemas.openxmlformats.org/officeDocument/2006/relationships/hyperlink" Target="https://archive.palgey-sharon.co.il/2020-03" TargetMode="External"/><Relationship Id="rId7" Type="http://schemas.openxmlformats.org/officeDocument/2006/relationships/hyperlink" Target="https://archive.palgey-sharon.co.il/2020-03" TargetMode="External"/><Relationship Id="rId8" Type="http://schemas.openxmlformats.org/officeDocument/2006/relationships/hyperlink" Target="https://archive.palgey-sharon.co.il/2020-03" TargetMode="External"/><Relationship Id="rId31" Type="http://schemas.openxmlformats.org/officeDocument/2006/relationships/hyperlink" Target="https://archive.palgey-sharon.co.il/2020-03" TargetMode="External"/><Relationship Id="rId30" Type="http://schemas.openxmlformats.org/officeDocument/2006/relationships/hyperlink" Target="https://archive.palgey-sharon.co.il/2020-03" TargetMode="External"/><Relationship Id="rId11" Type="http://schemas.openxmlformats.org/officeDocument/2006/relationships/hyperlink" Target="https://archive.palgey-sharon.co.il/2020-03" TargetMode="External"/><Relationship Id="rId33" Type="http://schemas.openxmlformats.org/officeDocument/2006/relationships/hyperlink" Target="https://archive.palgey-sharon.co.il/2020-03" TargetMode="External"/><Relationship Id="rId10" Type="http://schemas.openxmlformats.org/officeDocument/2006/relationships/hyperlink" Target="https://archive.palgey-sharon.co.il/2020-03" TargetMode="External"/><Relationship Id="rId32" Type="http://schemas.openxmlformats.org/officeDocument/2006/relationships/hyperlink" Target="https://archive.palgey-sharon.co.il/2020-03" TargetMode="External"/><Relationship Id="rId13" Type="http://schemas.openxmlformats.org/officeDocument/2006/relationships/hyperlink" Target="https://archive.palgey-sharon.co.il/2020-03" TargetMode="External"/><Relationship Id="rId35" Type="http://schemas.openxmlformats.org/officeDocument/2006/relationships/hyperlink" Target="https://archive.palgey-sharon.co.il/2020-03" TargetMode="External"/><Relationship Id="rId12" Type="http://schemas.openxmlformats.org/officeDocument/2006/relationships/hyperlink" Target="https://archive.palgey-sharon.co.il/2020-03" TargetMode="External"/><Relationship Id="rId34" Type="http://schemas.openxmlformats.org/officeDocument/2006/relationships/hyperlink" Target="https://archive.palgey-sharon.co.il/2020-03" TargetMode="External"/><Relationship Id="rId15" Type="http://schemas.openxmlformats.org/officeDocument/2006/relationships/hyperlink" Target="https://archive.palgey-sharon.co.il/2020-03" TargetMode="External"/><Relationship Id="rId37" Type="http://schemas.openxmlformats.org/officeDocument/2006/relationships/hyperlink" Target="https://archive.palgey-sharon.co.il/2020-03" TargetMode="External"/><Relationship Id="rId14" Type="http://schemas.openxmlformats.org/officeDocument/2006/relationships/hyperlink" Target="https://archive.palgey-sharon.co.il/2020-03" TargetMode="External"/><Relationship Id="rId36" Type="http://schemas.openxmlformats.org/officeDocument/2006/relationships/hyperlink" Target="https://archive.palgey-sharon.co.il/2020-03" TargetMode="External"/><Relationship Id="rId17" Type="http://schemas.openxmlformats.org/officeDocument/2006/relationships/hyperlink" Target="https://archive.palgey-sharon.co.il/2020-03" TargetMode="External"/><Relationship Id="rId39" Type="http://schemas.openxmlformats.org/officeDocument/2006/relationships/hyperlink" Target="https://archive.palgey-sharon.co.il/2020-03" TargetMode="External"/><Relationship Id="rId16" Type="http://schemas.openxmlformats.org/officeDocument/2006/relationships/hyperlink" Target="https://archive.palgey-sharon.co.il/2020-03" TargetMode="External"/><Relationship Id="rId38" Type="http://schemas.openxmlformats.org/officeDocument/2006/relationships/hyperlink" Target="https://archive.palgey-sharon.co.il/2020-03" TargetMode="External"/><Relationship Id="rId19" Type="http://schemas.openxmlformats.org/officeDocument/2006/relationships/hyperlink" Target="https://archive.palgey-sharon.co.il/2020-03" TargetMode="External"/><Relationship Id="rId18" Type="http://schemas.openxmlformats.org/officeDocument/2006/relationships/hyperlink" Target="https://archive.palgey-sharon.co.il/2020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