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32.7999999999997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.6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וכלכלה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b w:val="1"/>
          <w:sz w:val="32"/>
          <w:szCs w:val="32"/>
          <w:rtl w:val="0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רחוב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4.80000000000001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22/05/2025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IT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מחשוב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מוצרי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ושירותי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2.400000000000006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פומבי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07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2024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7.2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הנוהל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באינטרנט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403107-24-32329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4.7999999999999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מתכבדים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להודיעכם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8.4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שבנדון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שבנדון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IT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מחשובי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ושירותי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ייחפרויקטי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66.4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וכלכלה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5.60000000000001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15.1999999999999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.3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vertAlign w:val="baseline"/>
          <w:rtl w:val="1"/>
        </w:rPr>
        <w:t xml:space="preserve">ברשות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5.19999999999999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2.39999999999998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0"/>
        </w:rPr>
        <w:t xml:space="preserve"> : _________________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3.6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המזמינה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2.7999999999997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שטרנברג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</w:t>
      </w:r>
      <w:r w:rsidDel="00000000" w:rsidR="00000000" w:rsidRPr="00000000">
        <w:rPr>
          <w:sz w:val="32"/>
          <w:szCs w:val="32"/>
          <w:rtl w:val="1"/>
        </w:rPr>
        <w:t xml:space="preserve">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ישעיהו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92733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60.7999999999999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גזבר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