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‏11/06/2025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bookmarkStart w:colFirst="0" w:colLast="0" w:name="_heading=h.xtdhwy13xlam" w:id="0"/>
      <w:bookmarkEnd w:id="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קורא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לציוד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לסחיטה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וייבוש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וספקים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לציוד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לסחיטה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וייבוש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בטכנולוגית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המשופעלת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activated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sludge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תרכובות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חנקן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וזרחן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דאפט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עיכול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אנארובי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וצנטריפוגה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טכנולוגיות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לסחיטת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פיילוט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סחיטה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כשבועיים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הטכנולוגיה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line="360" w:lineRule="auto"/>
        <w:ind w:left="360" w:hanging="360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פעולה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צנטריפוגות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פולימרים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אופציונלי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line="360" w:lineRule="auto"/>
        <w:ind w:left="36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סחיטת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לריכוז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21%-23%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line="360" w:lineRule="auto"/>
        <w:ind w:left="36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טכנולוגיה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המסופק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התכונות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הבאות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אירופאי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DIN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פנאומטיקה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להכנסת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נירוסטה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316.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המסופק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קונוס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פתח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ומעקב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פשוטה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פשוטה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לפתיחת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רעש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DB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65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50%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מהצנטריפוגה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הקיימת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(65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bookmarkStart w:colFirst="0" w:colLast="0" w:name="_heading=h.aq6mqqxscmh2" w:id="1"/>
      <w:bookmarkEnd w:id="1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פולימרים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מהצריכה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הנוכחית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bookmarkStart w:colFirst="0" w:colLast="0" w:name="_heading=h.vfb84utfii9y" w:id="2"/>
      <w:bookmarkEnd w:id="2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מוצקים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95%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line="360" w:lineRule="auto"/>
        <w:ind w:left="36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נתוני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bidi w:val="1"/>
        <w:spacing w:line="360" w:lineRule="auto"/>
        <w:ind w:left="792" w:hanging="432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פיילוט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שהפיילוט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יוגדר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כמוצלח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רצונם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הנהלים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והתקציב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המאושר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להזמנה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מקסימלית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1,280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מוצקים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בריכוז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כניסה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2.7%.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ריכוז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מוצקים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ביציאה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מריכוז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הצנטריפוגה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הקיימת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מופנה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spacing w:line="360" w:lineRule="auto"/>
        <w:ind w:left="36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להצלחה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ריכוז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מוצקים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ביציאה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מריכוז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הצנטריפוגה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הקיימת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21%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מהמעבדה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פולימרים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מהצריכה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הנוכחית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מוצקים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95%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50%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הנוכחית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spacing w:line="360" w:lineRule="auto"/>
        <w:ind w:left="36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מוכח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spacing w:line="360" w:lineRule="auto"/>
        <w:ind w:left="36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יבחנו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שיתקבלו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יגבשו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הנהלים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10/7/2025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12:00 </w:t>
      </w:r>
    </w:p>
    <w:p w:rsidR="00000000" w:rsidDel="00000000" w:rsidP="00000000" w:rsidRDefault="00000000" w:rsidRPr="00000000" w14:paraId="00000026">
      <w:pPr>
        <w:bidi w:val="1"/>
        <w:spacing w:line="360" w:lineRule="auto"/>
        <w:ind w:left="792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b w:val="1"/>
            <w:sz w:val="32"/>
            <w:szCs w:val="32"/>
            <w:u w:val="single"/>
            <w:rtl w:val="0"/>
          </w:rPr>
          <w:t xml:space="preserve">tenders@palgey-sharon.co.i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line="360" w:lineRule="auto"/>
        <w:ind w:left="792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בנוכחות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התיבה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ממוקדמת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בתע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המעטפה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לציוד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לסחיטה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וייבוש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הטכנולוגיה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הפיילוט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והפיילוט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יצליח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בפולימרים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והעלויות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הפולימר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בהירויות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3/7/2025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12:00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השגיאות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ההתאמות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למובנו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המדויק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2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02D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E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התחייבות</w:t>
      </w:r>
    </w:p>
    <w:p w:rsidR="00000000" w:rsidDel="00000000" w:rsidP="00000000" w:rsidRDefault="00000000" w:rsidRPr="00000000" w14:paraId="0000002F">
      <w:pPr>
        <w:bidi w:val="1"/>
        <w:spacing w:before="24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הטכנולוגיה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הניסוי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התהליכים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שבדקנו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ווידאנו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ישקלו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בנזקים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spacing w:before="24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before="24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____________________________</w:t>
      </w:r>
    </w:p>
    <w:p w:rsidR="00000000" w:rsidDel="00000000" w:rsidP="00000000" w:rsidRDefault="00000000" w:rsidRPr="00000000" w14:paraId="00000032">
      <w:pPr>
        <w:bidi w:val="1"/>
        <w:spacing w:before="24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</w:t>
      </w:r>
    </w:p>
    <w:p w:rsidR="00000000" w:rsidDel="00000000" w:rsidP="00000000" w:rsidRDefault="00000000" w:rsidRPr="00000000" w14:paraId="00000033">
      <w:pPr>
        <w:bidi w:val="1"/>
        <w:spacing w:before="24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:__________________________</w:t>
      </w:r>
    </w:p>
    <w:p w:rsidR="00000000" w:rsidDel="00000000" w:rsidP="00000000" w:rsidRDefault="00000000" w:rsidRPr="00000000" w14:paraId="0000003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אומדן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bidi w:val="1"/>
        <w:spacing w:line="360" w:lineRule="auto"/>
        <w:ind w:left="72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לפיילוט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A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והפיילוט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יצלח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bidi w:val="1"/>
        <w:spacing w:line="360" w:lineRule="auto"/>
        <w:ind w:left="720" w:hanging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הצעתינו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יישום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הטכנולוגיה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tbl>
      <w:tblPr>
        <w:tblStyle w:val="Table1"/>
        <w:bidiVisual w:val="1"/>
        <w:tblW w:w="91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2"/>
        <w:gridCol w:w="2409"/>
        <w:gridCol w:w="2268"/>
        <w:gridCol w:w="2118"/>
        <w:tblGridChange w:id="0">
          <w:tblGrid>
            <w:gridCol w:w="2322"/>
            <w:gridCol w:w="2409"/>
            <w:gridCol w:w="2268"/>
            <w:gridCol w:w="21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bidi w:val="1"/>
              <w:spacing w:after="16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הפריט</w:t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spacing w:after="16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יחידה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המתאימה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לצורכי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(40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 </w:t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spacing w:after="16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הספק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יחידה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התואמת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צרכי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</w:t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spacing w:after="16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הערכה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לצריכת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פולימר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1302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bidi w:val="1"/>
              <w:spacing w:after="16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spacing w:after="16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spacing w:after="16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spacing w:after="16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3: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נדרשים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bidi w:val="1"/>
        <w:spacing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מורשה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bidi w:val="1"/>
        <w:spacing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פטור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מקור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bidi w:val="1"/>
        <w:spacing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הטכנולוגיה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bidi w:val="1"/>
        <w:spacing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מבנה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bidi w:val="1"/>
        <w:spacing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תכן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bidi w:val="1"/>
        <w:spacing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ופרטיהם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bidi w:val="1"/>
        <w:spacing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העמדה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וחומרי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6F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tabs>
        <w:tab w:val="center" w:leader="none" w:pos="4153"/>
        <w:tab w:val="right" w:leader="none" w:pos="8306"/>
      </w:tabs>
      <w:bidi w:val="1"/>
      <w:spacing w:after="0" w:line="360" w:lineRule="auto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–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09-7655527,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: 09-7655529.</w:t>
    </w:r>
  </w:p>
  <w:p w:rsidR="00000000" w:rsidDel="00000000" w:rsidP="00000000" w:rsidRDefault="00000000" w:rsidRPr="00000000" w14:paraId="00000074">
    <w:pPr>
      <w:tabs>
        <w:tab w:val="center" w:leader="none" w:pos="4153"/>
        <w:tab w:val="right" w:leader="none" w:pos="8306"/>
      </w:tabs>
      <w:bidi w:val="1"/>
      <w:spacing w:after="0" w:line="360" w:lineRule="auto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: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הנגר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8 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,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טל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 '09-7707555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'09-7401285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sz w:val="32"/>
        <w:szCs w:val="32"/>
      </w:rPr>
    </w:pPr>
    <w:bookmarkStart w:colFirst="0" w:colLast="0" w:name="_heading=h.fxk0sjp706vh" w:id="3"/>
    <w:bookmarkEnd w:id="3"/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sz w:val="32"/>
        <w:szCs w:val="32"/>
      </w:rPr>
    </w:pPr>
    <w:bookmarkStart w:colFirst="0" w:colLast="0" w:name="_heading=h.g3z4i0l0oyud" w:id="4"/>
    <w:bookmarkEnd w:id="4"/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maya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next w:val="a"/>
    <w:link w:val="10"/>
    <w:uiPriority w:val="9"/>
    <w:qFormat w:val="1"/>
    <w:rsid w:val="0069338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69338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693384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69338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693384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69338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69338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69338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69338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693384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69338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693384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693384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693384"/>
    <w:rPr>
      <w:rFonts w:cstheme="majorBidi" w:eastAsiaTheme="majorEastAsia"/>
      <w:color w:val="2f5496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693384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693384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693384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693384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69338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69338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69338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69338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69338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693384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693384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693384"/>
    <w:rPr>
      <w:i w:val="1"/>
      <w:iCs w:val="1"/>
      <w:color w:val="2f5496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693384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693384"/>
    <w:rPr>
      <w:i w:val="1"/>
      <w:iCs w:val="1"/>
      <w:color w:val="2f5496" w:themeColor="accent1" w:themeShade="0000BF"/>
    </w:rPr>
  </w:style>
  <w:style w:type="character" w:styleId="ad">
    <w:name w:val="Intense Reference"/>
    <w:basedOn w:val="a0"/>
    <w:uiPriority w:val="32"/>
    <w:qFormat w:val="1"/>
    <w:rsid w:val="00693384"/>
    <w:rPr>
      <w:b w:val="1"/>
      <w:bCs w:val="1"/>
      <w:smallCaps w:val="1"/>
      <w:color w:val="2f5496" w:themeColor="accent1" w:themeShade="0000BF"/>
      <w:spacing w:val="5"/>
    </w:rPr>
  </w:style>
  <w:style w:type="paragraph" w:styleId="ae">
    <w:name w:val="header"/>
    <w:basedOn w:val="a"/>
    <w:link w:val="af"/>
    <w:uiPriority w:val="99"/>
    <w:unhideWhenUsed w:val="1"/>
    <w:rsid w:val="00A94DD5"/>
    <w:pPr>
      <w:tabs>
        <w:tab w:val="center" w:pos="4153"/>
        <w:tab w:val="right" w:pos="8306"/>
      </w:tabs>
      <w:spacing w:after="0" w:line="240" w:lineRule="auto"/>
    </w:pPr>
  </w:style>
  <w:style w:type="character" w:styleId="af" w:customStyle="1">
    <w:name w:val="כותרת עליונה תו"/>
    <w:basedOn w:val="a0"/>
    <w:link w:val="ae"/>
    <w:uiPriority w:val="99"/>
    <w:rsid w:val="00A94DD5"/>
  </w:style>
  <w:style w:type="paragraph" w:styleId="af0">
    <w:name w:val="footer"/>
    <w:basedOn w:val="a"/>
    <w:link w:val="af1"/>
    <w:uiPriority w:val="99"/>
    <w:unhideWhenUsed w:val="1"/>
    <w:rsid w:val="00A94DD5"/>
    <w:pPr>
      <w:tabs>
        <w:tab w:val="center" w:pos="4153"/>
        <w:tab w:val="right" w:pos="8306"/>
      </w:tabs>
      <w:spacing w:after="0" w:line="240" w:lineRule="auto"/>
    </w:pPr>
  </w:style>
  <w:style w:type="character" w:styleId="af1" w:customStyle="1">
    <w:name w:val="כותרת תחתונה תו"/>
    <w:basedOn w:val="a0"/>
    <w:link w:val="af0"/>
    <w:uiPriority w:val="99"/>
    <w:rsid w:val="00A94DD5"/>
  </w:style>
  <w:style w:type="table" w:styleId="af2">
    <w:name w:val="Table Grid"/>
    <w:basedOn w:val="a1"/>
    <w:uiPriority w:val="39"/>
    <w:rsid w:val="00A94D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a0"/>
    <w:uiPriority w:val="99"/>
    <w:unhideWhenUsed w:val="1"/>
    <w:rsid w:val="00A94DD5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 w:val="1"/>
    <w:unhideWhenUsed w:val="1"/>
    <w:rsid w:val="00A94DD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fxCZ8EXVBylzN7hMgrbRX2HVQ==">CgMxLjAyDmgueHRkaHd5MTN4bGFtMg5oLmFxNm1xcXhzY21oMjIOaC52ZmI4NHV0ZmlpOXkyDmguZnhrMHNqcDcwNnZoMg5oLmczejRpMGwwb3l1ZDgAciExMS1mejdIMHF0RGhzd19jT2ZwdHpQcG14U1BTZGZ0Rlk=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2025-06-10T10:52:00Z</dcterms:created>
  <dc:creator>almogy</dc:creator>
</cp:coreProperties>
</file>