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-274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-274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-274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19/6/2025</w:t>
      </w:r>
    </w:p>
    <w:p w:rsidR="00000000" w:rsidDel="00000000" w:rsidP="00000000" w:rsidRDefault="00000000" w:rsidRPr="00000000" w14:paraId="00000004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-274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15/2025 -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לשדרוג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שיקום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נטרול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הריחות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שאושרה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המים</w:t>
      </w:r>
    </w:p>
    <w:p w:rsidR="00000000" w:rsidDel="00000000" w:rsidP="00000000" w:rsidRDefault="00000000" w:rsidRPr="00000000" w14:paraId="00000005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-274" w:firstLine="0"/>
        <w:rPr>
          <w:rFonts w:ascii="Arial" w:cs="Arial" w:eastAsia="Arial" w:hAnsi="Arial"/>
          <w:sz w:val="32"/>
          <w:szCs w:val="32"/>
        </w:rPr>
      </w:pPr>
      <w:bookmarkStart w:colFirst="0" w:colLast="0" w:name="_heading=h.8z5k903lngqh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המפעילים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הצנרת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והמפוחים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ניטרול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-274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רקע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509" w:right="0" w:hanging="423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בשפכי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בבעלות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משותפת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הקמתם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44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509" w:right="0" w:hanging="423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הוקמו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ביולוגיים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לנטרול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2010 ,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הוגדל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ושודרג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נוספו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נטרול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ביולוגיים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נטרול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226" w:right="0" w:firstLine="283.00000000000006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מקוריים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שהוקמו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1995 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35"/>
          <w:tab w:val="left" w:leader="none" w:pos="1076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935" w:right="0" w:hanging="284.00000000000006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1)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35"/>
          <w:tab w:val="left" w:leader="none" w:pos="1076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935" w:right="0" w:hanging="284.00000000000006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אגני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גזם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שמטפלים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באגני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השיקוע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הראשוני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האנאירוביים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בריאקטורים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5,4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-6).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509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שנבנו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השדרוג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2010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35"/>
          <w:tab w:val="left" w:leader="none" w:pos="1076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935" w:right="0" w:hanging="284.00000000000006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ביולוגי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שמטפל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2).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35"/>
          <w:tab w:val="left" w:leader="none" w:pos="1076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935" w:right="0" w:hanging="284.00000000000006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סינטטי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שמטפל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בבוצה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3).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509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35"/>
          <w:tab w:val="left" w:leader="none" w:pos="1076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935" w:right="0" w:hanging="284.00000000000006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2008-2009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שודרגו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שלושת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גזם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טופ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5,4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-6,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הוגבהו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35"/>
          <w:tab w:val="left" w:leader="none" w:pos="1076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935" w:right="0" w:hanging="284.00000000000006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הוחלף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935"/>
          <w:tab w:val="left" w:leader="none" w:pos="1076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935" w:right="0" w:hanging="284.00000000000006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וקיימת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שיונקת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נטרול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המצורפת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44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509" w:right="0" w:hanging="423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בריחות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509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509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509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509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509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בפרשה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שצורפה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שיוצאו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ויאושרו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44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509" w:right="0" w:hanging="423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מגבלות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תקציב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יחולק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לתקציב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שירכז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ניטרול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יתפרש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שיוכנו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יתפרש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בהערכה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ידרשו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ארוכה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1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3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שהוגשה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7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והמלצה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D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ליוויי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רגולטור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חיצוני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E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31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86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44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11,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במעטפה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סגורה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כיתוב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הנושאת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42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20/7/2025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12:00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והשעה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יפתחו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ויפסלו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426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3.3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שתישלח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426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3.4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שמצורפים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2069" w:right="0" w:hanging="284.00000000000006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בריחות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ספטמבר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2024.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2069" w:right="0" w:hanging="284.00000000000006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זרימה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2069" w:right="0" w:hanging="284.00000000000006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2069" w:right="0" w:hanging="284.00000000000006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293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qv6shmts0aja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line="360" w:lineRule="auto"/>
        <w:ind w:left="84" w:firstLine="0"/>
        <w:rPr>
          <w:rFonts w:ascii="Arial" w:cs="Arial" w:eastAsia="Arial" w:hAnsi="Arial"/>
          <w:sz w:val="32"/>
          <w:szCs w:val="32"/>
        </w:rPr>
      </w:pPr>
      <w:bookmarkStart w:colFirst="0" w:colLast="0" w:name="_heading=h.f01r7hh7yzes" w:id="2"/>
      <w:bookmarkEnd w:id="2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*: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ביולוגיים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לנטרול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שכוללות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44">
      <w:pPr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הקמתו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ופירוט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ניסיונו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והנדסאים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ומפרט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ותעודות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הזהות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וההנדסאים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והעתק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בפנקס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bookmarkStart w:colFirst="0" w:colLast="0" w:name="_heading=h.i0q8fdln65lf" w:id="3"/>
      <w:bookmarkEnd w:id="3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(2014-2024)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שכוללים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48">
      <w:pPr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שתוכננו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ופירוט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ודרכי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המזמינים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שפורטו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לנטרול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spacing w:after="0" w:line="360" w:lineRule="auto"/>
        <w:ind w:left="72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מאומת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bidi w:val="1"/>
        <w:spacing w:after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ייקחו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המעיד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מאומת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bookmarkStart w:colFirst="0" w:colLast="0" w:name="_heading=h.8udvcmoafe5" w:id="4"/>
      <w:bookmarkEnd w:id="4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הרשומה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וישויות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רשומה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יחיד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-1976.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ומאומת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פנקסים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הכנסות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-1976.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44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מורכבות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רגישותם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וחשיבותם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המיוחדת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44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44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שיוציא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שיוציא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בתחתית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44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המוצע</w:t>
      </w:r>
    </w:p>
    <w:p w:rsidR="00000000" w:rsidDel="00000000" w:rsidP="00000000" w:rsidRDefault="00000000" w:rsidRPr="00000000" w14:paraId="00000059">
      <w:pPr>
        <w:keepLines w:val="1"/>
        <w:bidi w:val="1"/>
        <w:spacing w:after="120" w:line="360" w:lineRule="auto"/>
        <w:ind w:left="84" w:firstLine="0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השדרוג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לפרשה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הטכנית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העדכנית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שהוכנה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מוערכת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בכ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-10.0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מלש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נלוות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5A">
      <w:pPr>
        <w:keepLines w:val="1"/>
        <w:bidi w:val="1"/>
        <w:spacing w:after="120" w:line="360" w:lineRule="auto"/>
        <w:ind w:left="84" w:firstLine="0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הבסיסי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שמוצע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להכנת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והפיקוח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העליון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הוא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, 8.0%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 800,000 ₪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הנמוך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מבניהם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Lines w:val="1"/>
        <w:bidi w:val="1"/>
        <w:spacing w:after="120" w:line="360" w:lineRule="auto"/>
        <w:ind w:left="84" w:firstLine="0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יציע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אחידה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המנגנונים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תעלה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 10%.</w:t>
      </w:r>
    </w:p>
    <w:p w:rsidR="00000000" w:rsidDel="00000000" w:rsidP="00000000" w:rsidRDefault="00000000" w:rsidRPr="00000000" w14:paraId="0000005C">
      <w:pPr>
        <w:keepLines w:val="1"/>
        <w:bidi w:val="1"/>
        <w:spacing w:after="120" w:line="360" w:lineRule="auto"/>
        <w:ind w:left="84" w:firstLine="0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לקביעת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הציון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המשוקלל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המורכב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-40%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))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-60%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הדירוג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האיכותי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תשלום</w:t>
      </w:r>
    </w:p>
    <w:p w:rsidR="00000000" w:rsidDel="00000000" w:rsidP="00000000" w:rsidRDefault="00000000" w:rsidRPr="00000000" w14:paraId="0000005E">
      <w:pPr>
        <w:keepNext w:val="0"/>
        <w:keepLines w:val="1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4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1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4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ובחירת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1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44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6.1-6.2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ישולמו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ובאבן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הקבועה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6.3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התחשבנות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הראשונות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keepLines w:val="1"/>
        <w:bidi w:val="1"/>
        <w:spacing w:after="120" w:line="360" w:lineRule="auto"/>
        <w:ind w:left="84" w:firstLine="0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ואמות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המידה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זוכה</w:t>
      </w:r>
    </w:p>
    <w:p w:rsidR="00000000" w:rsidDel="00000000" w:rsidP="00000000" w:rsidRDefault="00000000" w:rsidRPr="00000000" w14:paraId="00000063">
      <w:pPr>
        <w:keepNext w:val="0"/>
        <w:keepLines w:val="1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446" w:right="142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תתבסס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שקלול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לקריטריונים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4">
      <w:pPr>
        <w:keepLines w:val="1"/>
        <w:bidi w:val="1"/>
        <w:spacing w:after="120" w:line="360" w:lineRule="auto"/>
        <w:ind w:right="142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Lines w:val="1"/>
        <w:bidi w:val="1"/>
        <w:spacing w:after="120" w:line="360" w:lineRule="auto"/>
        <w:ind w:right="142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Lines w:val="1"/>
        <w:bidi w:val="1"/>
        <w:spacing w:after="120" w:line="360" w:lineRule="auto"/>
        <w:ind w:right="142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1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446" w:right="142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לבחירת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- 60%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68">
      <w:pPr>
        <w:keepNext w:val="0"/>
        <w:keepLines w:val="1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446" w:right="142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שיועמד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לזכייה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במצטבר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הרכיבים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ומחיר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Lines w:val="1"/>
        <w:tabs>
          <w:tab w:val="left" w:leader="none" w:pos="565"/>
        </w:tabs>
        <w:bidi w:val="1"/>
        <w:spacing w:after="120" w:line="360" w:lineRule="auto"/>
        <w:ind w:left="84" w:right="142" w:firstLine="0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קריטריוני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ינוקד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60%)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).</w:t>
      </w:r>
    </w:p>
    <w:p w:rsidR="00000000" w:rsidDel="00000000" w:rsidP="00000000" w:rsidRDefault="00000000" w:rsidRPr="00000000" w14:paraId="0000006A">
      <w:pPr>
        <w:keepLines w:val="1"/>
        <w:tabs>
          <w:tab w:val="left" w:leader="none" w:pos="565"/>
        </w:tabs>
        <w:bidi w:val="1"/>
        <w:spacing w:after="120" w:line="360" w:lineRule="auto"/>
        <w:ind w:right="567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1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1"/>
        <w:gridCol w:w="4410"/>
        <w:gridCol w:w="1862"/>
        <w:gridCol w:w="1983"/>
        <w:tblGridChange w:id="0">
          <w:tblGrid>
            <w:gridCol w:w="891"/>
            <w:gridCol w:w="4410"/>
            <w:gridCol w:w="1862"/>
            <w:gridCol w:w="19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'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קריטריון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ואופן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נקוד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מרבי</w:t>
            </w:r>
          </w:p>
        </w:tc>
        <w:tc>
          <w:tcPr/>
          <w:p w:rsidR="00000000" w:rsidDel="00000000" w:rsidP="00000000" w:rsidRDefault="00000000" w:rsidRPr="00000000" w14:paraId="0000006E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מסמכים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שיש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לצרף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Lines w:val="1"/>
              <w:bidi w:val="1"/>
              <w:spacing w:after="120" w:line="360" w:lineRule="auto"/>
              <w:ind w:right="56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הצגת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לפרויקטים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שהוצגו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הכוללים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מתקני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נטרול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ריחות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ינוקד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- 3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למקסימום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15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- 15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האחרונות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15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נקודות</w:t>
            </w:r>
          </w:p>
        </w:tc>
        <w:tc>
          <w:tcPr/>
          <w:p w:rsidR="00000000" w:rsidDel="00000000" w:rsidP="00000000" w:rsidRDefault="00000000" w:rsidRPr="00000000" w14:paraId="00000072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רשימת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הכוללת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מטעם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ופרטי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עמו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3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מובהר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יהא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רשאי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ליצור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מזמין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ולוודא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בטבלה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Lines w:val="1"/>
              <w:bidi w:val="1"/>
              <w:spacing w:after="120" w:line="360" w:lineRule="auto"/>
              <w:ind w:right="56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קודם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מנהלת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הביוב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ועבודה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תאגידי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מים</w:t>
            </w:r>
          </w:p>
          <w:p w:rsidR="00000000" w:rsidDel="00000000" w:rsidP="00000000" w:rsidRDefault="00000000" w:rsidRPr="00000000" w14:paraId="00000076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375" w:right="120" w:hanging="375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מתן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לתאגידים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מינהלת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הביוב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והיכרות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תאגידי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*, 1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למקסימום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4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</w:p>
          <w:p w:rsidR="00000000" w:rsidDel="00000000" w:rsidP="00000000" w:rsidRDefault="00000000" w:rsidRPr="00000000" w14:paraId="00000077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לעניין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ומינהלת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הביוב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תחשב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כעבודה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תאגיד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4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נקודות</w:t>
            </w:r>
          </w:p>
        </w:tc>
        <w:tc>
          <w:tcPr/>
          <w:p w:rsidR="00000000" w:rsidDel="00000000" w:rsidP="00000000" w:rsidRDefault="00000000" w:rsidRPr="00000000" w14:paraId="00000079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רשימת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תאגידים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עמם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עבד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הכוללת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ופרטי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עמו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שבוצעו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Lines w:val="1"/>
              <w:bidi w:val="1"/>
              <w:spacing w:after="120" w:line="360" w:lineRule="auto"/>
              <w:ind w:right="56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וותק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וניסיון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בתכנון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מתקנים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הנדסיים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מכניים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מט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תחנות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נטרול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ריחות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וכו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7C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75" w:right="120" w:hanging="375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15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- 2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</w:p>
          <w:p w:rsidR="00000000" w:rsidDel="00000000" w:rsidP="00000000" w:rsidRDefault="00000000" w:rsidRPr="00000000" w14:paraId="0000007D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75" w:right="120" w:hanging="375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15-25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- 4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</w:p>
          <w:p w:rsidR="00000000" w:rsidDel="00000000" w:rsidP="00000000" w:rsidRDefault="00000000" w:rsidRPr="00000000" w14:paraId="0000007E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375" w:right="120" w:hanging="375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25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- 6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0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יבחן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לפרופיל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שצורף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להצעה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Lines w:val="1"/>
              <w:bidi w:val="1"/>
              <w:spacing w:after="120" w:line="360" w:lineRule="auto"/>
              <w:ind w:right="56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קבלת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מידע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ממזמינים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שונים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שעבדו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שוטף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בשיחות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טלפון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המזמינים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ומנהלי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הפרויקטים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מידע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חסוי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שעשוי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להתקבל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מהמזמינים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יימסר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למציע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בקשתם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83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לממליץ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שיוכלו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המלצה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המלצתו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ממליץ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תנוקד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מקסימלי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ישאל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יותר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ממליץ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בקריטריון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ממוצע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הציונים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שנתנו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הממליצים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השונים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1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12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מקצועיות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בתכנון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מתקנים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לנטרול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ריחות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1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12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איכות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צוות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3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1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12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עמידה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בלוחות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זמנים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1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720" w:right="12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חוות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דעת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כללית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D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יודגש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מהחברות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המרכיבות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להעניק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ממליץ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ועניין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10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F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לצרף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רשימת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ממליצים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ודרכי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התקשרות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עמם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0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רשאי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לפנות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לממליצים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הרשימה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האמורה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אלו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שצויינו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ברשימות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אחרות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אותן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הציג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לתנאי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לממליצים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פורטו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שיקול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דעתו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8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שמות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הממליצים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אליהם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פנה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התאגיד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יחשפו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בפני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עיון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בהצעות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בהגשת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מסכים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ומתחייב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לתנאי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לחגבי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הצעתו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והן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לגבי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הזוכה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Lines w:val="1"/>
              <w:bidi w:val="1"/>
              <w:spacing w:after="120" w:line="360" w:lineRule="auto"/>
              <w:ind w:right="56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ראיון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אישי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פרונטאלי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באמצעות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זום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והתרשמות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הופעה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בפני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מנכ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התאגידים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וועדות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המכרזים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25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9B">
            <w:pPr>
              <w:keepLines w:val="1"/>
              <w:bidi w:val="1"/>
              <w:spacing w:after="120" w:line="360" w:lineRule="auto"/>
              <w:ind w:right="12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לראיון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התרשמות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פרונטלי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באמצעות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ייבחנו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הקריטריונים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77" w:right="120" w:hanging="36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מקצועיות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המתכנן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המוצע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למתן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77" w:right="120" w:hanging="36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זמינות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ועמידה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בלוחות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זמנים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77" w:right="120" w:hanging="36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קודם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והיכרות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תחום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תאגידי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77" w:right="120" w:hanging="36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התאמה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לתפקיד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לרבות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אמינות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ומתן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מענה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לבעיות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וטיפול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בליקויים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- 5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1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377" w:right="120" w:hanging="36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התרשמות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מהראיון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A2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Lines w:val="1"/>
              <w:bidi w:val="1"/>
              <w:spacing w:after="120" w:line="360" w:lineRule="auto"/>
              <w:ind w:right="56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Lines w:val="1"/>
              <w:bidi w:val="1"/>
              <w:spacing w:after="120" w:line="360" w:lineRule="auto"/>
              <w:ind w:right="567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הצעת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המחיר</w:t>
            </w:r>
          </w:p>
          <w:p w:rsidR="00000000" w:rsidDel="00000000" w:rsidP="00000000" w:rsidRDefault="00000000" w:rsidRPr="00000000" w14:paraId="000000A5">
            <w:pPr>
              <w:keepLines w:val="1"/>
              <w:bidi w:val="1"/>
              <w:spacing w:after="120" w:line="360" w:lineRule="auto"/>
              <w:ind w:right="153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הכוללת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הזולה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שהציע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ההנחה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הגבוה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יזכה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למירב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הנקודות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לפרמטר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קרי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, 40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).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יתר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ההצעות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יזכו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לניקוד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יחסי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להצעה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הזולה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לנוסחה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שלהלן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keepLines w:val="1"/>
              <w:bidi w:val="1"/>
              <w:spacing w:after="120" w:line="360" w:lineRule="auto"/>
              <w:ind w:right="153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Lines w:val="1"/>
              <w:bidi w:val="1"/>
              <w:spacing w:after="120" w:line="360" w:lineRule="auto"/>
              <w:ind w:right="153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Lines w:val="1"/>
              <w:bidi w:val="1"/>
              <w:spacing w:after="120" w:line="360" w:lineRule="auto"/>
              <w:ind w:right="153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Lines w:val="1"/>
              <w:bidi w:val="1"/>
              <w:spacing w:after="120" w:line="360" w:lineRule="auto"/>
              <w:ind w:right="153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Lines w:val="1"/>
              <w:bidi w:val="1"/>
              <w:spacing w:after="120" w:line="360" w:lineRule="auto"/>
              <w:ind w:right="153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Lines w:val="1"/>
              <w:bidi w:val="1"/>
              <w:spacing w:after="120" w:line="360" w:lineRule="auto"/>
              <w:ind w:right="153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ההנחה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שנתן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יוכפל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בסכום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800,000 ₪.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הסכום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שיתקבל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יהווה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הכספית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בחינת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ההצעות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בלבד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AC">
            <w:pPr>
              <w:keepLines w:val="1"/>
              <w:bidi w:val="1"/>
              <w:spacing w:after="120" w:line="360" w:lineRule="auto"/>
              <w:ind w:right="153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ההצעות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הכספיות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שיחושבו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בחינת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ההצעות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יבחנו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לנוסחה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שלהלן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-248"/>
              </w:tabs>
              <w:bidi w:val="1"/>
              <w:spacing w:line="360" w:lineRule="auto"/>
              <w:ind w:left="2786" w:hanging="2786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הנבחנת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=  40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הכספית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הזולה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ביותר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חלקי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ההצעה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הנבחנת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40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נקודות</w:t>
            </w:r>
          </w:p>
        </w:tc>
        <w:tc>
          <w:tcPr/>
          <w:p w:rsidR="00000000" w:rsidDel="00000000" w:rsidP="00000000" w:rsidRDefault="00000000" w:rsidRPr="00000000" w14:paraId="000000AF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Lines w:val="1"/>
              <w:bidi w:val="1"/>
              <w:spacing w:after="120" w:line="360" w:lineRule="auto"/>
              <w:ind w:right="567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Lines w:val="1"/>
              <w:bidi w:val="1"/>
              <w:spacing w:after="120" w:line="360" w:lineRule="auto"/>
              <w:ind w:right="38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כ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100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נקודות</w:t>
            </w:r>
          </w:p>
        </w:tc>
        <w:tc>
          <w:tcPr/>
          <w:p w:rsidR="00000000" w:rsidDel="00000000" w:rsidP="00000000" w:rsidRDefault="00000000" w:rsidRPr="00000000" w14:paraId="000000B3">
            <w:pPr>
              <w:keepLines w:val="1"/>
              <w:bidi w:val="1"/>
              <w:spacing w:after="120" w:line="360" w:lineRule="auto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Lines w:val="1"/>
        <w:bidi w:val="1"/>
        <w:spacing w:after="120" w:line="360" w:lineRule="auto"/>
        <w:ind w:left="567" w:right="709" w:firstLine="0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5">
      <w:pPr>
        <w:keepLines w:val="1"/>
        <w:bidi w:val="1"/>
        <w:spacing w:after="120" w:line="360" w:lineRule="auto"/>
        <w:ind w:left="84" w:right="709" w:firstLine="0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בעלת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6">
      <w:pPr>
        <w:keepLines w:val="1"/>
        <w:bidi w:val="1"/>
        <w:spacing w:after="120" w:line="360" w:lineRule="auto"/>
        <w:ind w:left="1185" w:right="709" w:firstLine="0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1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651" w:right="0" w:hanging="56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בספרות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1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651" w:right="0" w:hanging="567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שתעלה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שינקב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שלילית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יפסלו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שינקב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כתקינה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1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651" w:right="0" w:hanging="56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בספרות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שבמילים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יגבר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1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651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הפנייה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תחולנה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1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651" w:right="0" w:hanging="567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תכסיסנית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מיוחדת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שתירשם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בחירת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4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שעמדו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תיבחר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שתקבל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המשוקלל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מסמכותם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"/>
          <w:tab w:val="left" w:leader="none" w:pos="567"/>
          <w:tab w:val="left" w:leader="none" w:pos="651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4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המשוקלל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וציון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הרכיב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הכספי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משוקלל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"/>
          <w:tab w:val="left" w:leader="none" w:pos="567"/>
          <w:tab w:val="left" w:leader="none" w:pos="651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"/>
          <w:tab w:val="left" w:leader="none" w:pos="567"/>
          <w:tab w:val="left" w:leader="none" w:pos="651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 = B +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הבהרה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tenders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ותועברנה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בקובץ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בפורמט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WORD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tbl>
      <w:tblPr>
        <w:tblStyle w:val="Table2"/>
        <w:bidiVisual w:val="1"/>
        <w:tblW w:w="7338.0" w:type="dxa"/>
        <w:jc w:val="left"/>
        <w:tblInd w:w="6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"/>
        <w:gridCol w:w="648"/>
        <w:gridCol w:w="748"/>
        <w:gridCol w:w="1469"/>
        <w:gridCol w:w="2064"/>
        <w:gridCol w:w="1694"/>
        <w:tblGridChange w:id="0">
          <w:tblGrid>
            <w:gridCol w:w="715"/>
            <w:gridCol w:w="648"/>
            <w:gridCol w:w="748"/>
            <w:gridCol w:w="1469"/>
            <w:gridCol w:w="2064"/>
            <w:gridCol w:w="1694"/>
          </w:tblGrid>
        </w:tblGridChange>
      </w:tblGrid>
      <w:tr>
        <w:trPr>
          <w:cantSplit w:val="0"/>
          <w:trHeight w:val="979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עמוד</w:t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ותת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התאמה</w:t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ימולא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D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074-7029763,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להעברת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10/7/2025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יענו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יסבור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חשיבות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מיוחדת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מצביעות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DE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תשלחנה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ששאלו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ותועלנה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563c1"/>
          <w:sz w:val="32"/>
          <w:szCs w:val="32"/>
          <w:u w:val="single"/>
          <w:rtl w:val="0"/>
        </w:rPr>
        <w:t xml:space="preserve">www.palgey- sharon.co.il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F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תחייבנה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שגיאות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וסיור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בכוונת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וסיור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והסיור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להתעורר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יאמרו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והסיור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יחייבו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לסתור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השתתפותו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הסכמתו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6/7/2025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14:00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לפתיחת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השער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09-7760790 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תידון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ויראו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הוגשה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מתבקשים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ומוזמנים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וההסברים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והנחוצים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הוראותיו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דרישותיו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ביצועו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והצעתו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הכספית</w:t>
      </w:r>
    </w:p>
    <w:p w:rsidR="00000000" w:rsidDel="00000000" w:rsidP="00000000" w:rsidRDefault="00000000" w:rsidRPr="00000000" w14:paraId="000000F3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"/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1778" w:right="0" w:hanging="1694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 ________________________              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__ ______________________          :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_______________________ :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              :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_________________: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___________________: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             :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הבנק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_________________     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חתימה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177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"/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1778" w:right="0" w:hanging="1694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1778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להודיעכם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1778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1778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בסיסי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800,000 ₪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1778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בספרות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  (%)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___________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177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                        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אחוזי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הנחה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177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177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"/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1778" w:right="0" w:hanging="1694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שקראנו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177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93" w:right="0" w:hanging="425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והגשנו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המבוססות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מתנאיו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93" w:right="0" w:hanging="425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מהמשתתפים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עצמנו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93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93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93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93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93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המקובלים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93" w:right="0" w:hanging="425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משתתפים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93" w:right="0" w:hanging="425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לפקיעתה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93" w:right="0" w:hanging="425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וערבים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המטרות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והסמכויות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לחתימתנו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93" w:right="0" w:hanging="425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מצרפים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793" w:right="0" w:hanging="425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המקובל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9">
      <w:pPr>
        <w:tabs>
          <w:tab w:val="left" w:leader="none" w:pos="793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ind w:left="7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____________ :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____________ :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368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:______________________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_________________,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שזיהה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___________/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החותמים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חתימתם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        ___________                       __________            ___________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חתימה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before="0" w:line="360" w:lineRule="auto"/>
        <w:ind w:left="86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</w:t>
      </w:r>
    </w:p>
    <w:p w:rsidR="00000000" w:rsidDel="00000000" w:rsidP="00000000" w:rsidRDefault="00000000" w:rsidRPr="00000000" w14:paraId="00000129">
      <w:pPr>
        <w:tabs>
          <w:tab w:val="left" w:leader="none" w:pos="567"/>
          <w:tab w:val="left" w:leader="none" w:pos="1134"/>
          <w:tab w:val="left" w:leader="none" w:pos="1502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</w:tabs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leader="none" w:pos="3119"/>
          <w:tab w:val="right" w:leader="none" w:pos="8647"/>
        </w:tabs>
        <w:bidi w:val="1"/>
        <w:spacing w:line="360" w:lineRule="auto"/>
        <w:rPr>
          <w:rFonts w:ascii="Arial" w:cs="Arial" w:eastAsia="Arial" w:hAnsi="Arial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1"/>
        </w:rPr>
        <w:t xml:space="preserve">-1976</w:t>
      </w:r>
    </w:p>
    <w:p w:rsidR="00000000" w:rsidDel="00000000" w:rsidP="00000000" w:rsidRDefault="00000000" w:rsidRPr="00000000" w14:paraId="0000012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37" w:right="0" w:hanging="567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________________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_______________________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2D">
      <w:pPr>
        <w:bidi w:val="1"/>
        <w:spacing w:line="360" w:lineRule="auto"/>
        <w:ind w:left="890" w:hanging="78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</w:t>
        <w:tab/>
        <w:t xml:space="preserve">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המשתתף</w:t>
      </w:r>
    </w:p>
    <w:p w:rsidR="00000000" w:rsidDel="00000000" w:rsidP="00000000" w:rsidRDefault="00000000" w:rsidRPr="00000000" w14:paraId="0000012E">
      <w:pPr>
        <w:bidi w:val="1"/>
        <w:spacing w:line="360" w:lineRule="auto"/>
        <w:ind w:left="890" w:hanging="1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37" w:right="0" w:hanging="567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*;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spacing w:after="0" w:line="360" w:lineRule="auto"/>
        <w:ind w:left="890" w:hanging="1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line="360" w:lineRule="auto"/>
        <w:ind w:left="890" w:hanging="17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</w:p>
    <w:p w:rsidR="00000000" w:rsidDel="00000000" w:rsidP="00000000" w:rsidRDefault="00000000" w:rsidRPr="00000000" w14:paraId="00000132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*,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ההרשעה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33">
      <w:pPr>
        <w:bidi w:val="1"/>
        <w:spacing w:line="360" w:lineRule="auto"/>
        <w:ind w:left="1077" w:hanging="35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*</w:t>
        <w:tab/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";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";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-1976;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37" w:right="0" w:hanging="56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18" w:right="0" w:hanging="340.99999999999994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מוגבלות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-1998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חלות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; </w:t>
      </w:r>
    </w:p>
    <w:p w:rsidR="00000000" w:rsidDel="00000000" w:rsidP="00000000" w:rsidRDefault="00000000" w:rsidRPr="00000000" w14:paraId="00000136">
      <w:pPr>
        <w:bidi w:val="1"/>
        <w:spacing w:after="0" w:line="360" w:lineRule="auto"/>
        <w:ind w:left="567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line="360" w:lineRule="auto"/>
        <w:ind w:left="567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18" w:right="0" w:hanging="340.99999999999994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חלות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18" w:right="0" w:hanging="56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77" w:right="0" w:hanging="226.9999999999999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* 100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יפנה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והרווחה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ובמידת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ליישומן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77" w:right="0" w:hanging="56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18" w:right="0" w:firstLine="21.999999999999886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לחילופין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18" w:right="0" w:firstLine="21.999999999999886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77" w:right="0" w:hanging="226.9999999999999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הרווחה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3.2.1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ליישומן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155" w:right="0" w:hanging="566.9999999999999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4"/>
        </w:tabs>
        <w:bidi w:val="1"/>
        <w:spacing w:after="0" w:before="0" w:line="360" w:lineRule="auto"/>
        <w:ind w:left="1440" w:right="0" w:hanging="56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* </w:t>
        <w:tab/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56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הרווחה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40" w:right="0" w:hanging="56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37" w:right="0" w:hanging="56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ab/>
        <w:tab/>
        <w:t xml:space="preserve">                            </w:t>
        <w:tab/>
        <w:t xml:space="preserve">_________________</w:t>
      </w:r>
    </w:p>
    <w:p w:rsidR="00000000" w:rsidDel="00000000" w:rsidP="00000000" w:rsidRDefault="00000000" w:rsidRPr="00000000" w14:paraId="00000145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המצהיר</w:t>
      </w:r>
    </w:p>
    <w:p w:rsidR="00000000" w:rsidDel="00000000" w:rsidP="00000000" w:rsidRDefault="00000000" w:rsidRPr="00000000" w14:paraId="00000146">
      <w:pPr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אימות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47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</w:p>
    <w:p w:rsidR="00000000" w:rsidDel="00000000" w:rsidP="00000000" w:rsidRDefault="00000000" w:rsidRPr="00000000" w14:paraId="00000148">
      <w:pPr>
        <w:bidi w:val="1"/>
        <w:spacing w:line="360" w:lineRule="auto"/>
        <w:ind w:left="5760" w:firstLine="17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</w:t>
      </w:r>
    </w:p>
    <w:p w:rsidR="00000000" w:rsidDel="00000000" w:rsidP="00000000" w:rsidRDefault="00000000" w:rsidRPr="00000000" w14:paraId="00000149">
      <w:pPr>
        <w:bidi w:val="1"/>
        <w:spacing w:line="360" w:lineRule="auto"/>
        <w:ind w:left="5760" w:firstLine="17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avid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A">
    <w:pPr>
      <w:tabs>
        <w:tab w:val="center" w:leader="none" w:pos="4153"/>
        <w:tab w:val="right" w:leader="none" w:pos="8306"/>
      </w:tabs>
      <w:bidi w:val="1"/>
      <w:spacing w:after="0" w:line="276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14B">
    <w:pPr>
      <w:bidi w:val="1"/>
      <w:spacing w:after="120" w:line="276" w:lineRule="auto"/>
      <w:ind w:right="-72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14C">
    <w:pPr>
      <w:tabs>
        <w:tab w:val="center" w:leader="none" w:pos="4153"/>
        <w:tab w:val="right" w:leader="none" w:pos="8306"/>
      </w:tabs>
      <w:spacing w:after="0" w:line="276" w:lineRule="auto"/>
      <w:jc w:val="righ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</w:p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6" w:hanging="360"/>
      </w:pPr>
      <w:rPr>
        <w:b w:val="1"/>
      </w:rPr>
    </w:lvl>
    <w:lvl w:ilvl="1">
      <w:start w:val="1"/>
      <w:numFmt w:val="decimal"/>
      <w:lvlText w:val="%1.%2"/>
      <w:lvlJc w:val="left"/>
      <w:pPr>
        <w:ind w:left="44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166" w:hanging="720"/>
      </w:pPr>
      <w:rPr/>
    </w:lvl>
    <w:lvl w:ilvl="3">
      <w:start w:val="1"/>
      <w:numFmt w:val="decimal"/>
      <w:lvlText w:val="%1.%2.%3.%4"/>
      <w:lvlJc w:val="left"/>
      <w:pPr>
        <w:ind w:left="1526" w:hanging="720"/>
      </w:pPr>
      <w:rPr/>
    </w:lvl>
    <w:lvl w:ilvl="4">
      <w:start w:val="1"/>
      <w:numFmt w:val="decimal"/>
      <w:lvlText w:val="%1.%2.%3.%4.%5"/>
      <w:lvlJc w:val="left"/>
      <w:pPr>
        <w:ind w:left="2246" w:hanging="1080"/>
      </w:pPr>
      <w:rPr/>
    </w:lvl>
    <w:lvl w:ilvl="5">
      <w:start w:val="1"/>
      <w:numFmt w:val="decimal"/>
      <w:lvlText w:val="%1.%2.%3.%4.%5.%6"/>
      <w:lvlJc w:val="left"/>
      <w:pPr>
        <w:ind w:left="2606" w:hanging="1079.9999999999998"/>
      </w:pPr>
      <w:rPr/>
    </w:lvl>
    <w:lvl w:ilvl="6">
      <w:start w:val="1"/>
      <w:numFmt w:val="decimal"/>
      <w:lvlText w:val="%1.%2.%3.%4.%5.%6.%7"/>
      <w:lvlJc w:val="left"/>
      <w:pPr>
        <w:ind w:left="2966" w:hanging="1079.9999999999998"/>
      </w:pPr>
      <w:rPr/>
    </w:lvl>
    <w:lvl w:ilvl="7">
      <w:start w:val="1"/>
      <w:numFmt w:val="decimal"/>
      <w:lvlText w:val="%1.%2.%3.%4.%5.%6.%7.%8"/>
      <w:lvlJc w:val="left"/>
      <w:pPr>
        <w:ind w:left="3686" w:hanging="1440"/>
      </w:pPr>
      <w:rPr/>
    </w:lvl>
    <w:lvl w:ilvl="8">
      <w:start w:val="1"/>
      <w:numFmt w:val="decimal"/>
      <w:lvlText w:val="%1.%2.%3.%4.%5.%6.%7.%8.%9"/>
      <w:lvlJc w:val="left"/>
      <w:pPr>
        <w:ind w:left="4046" w:hanging="1440"/>
      </w:pPr>
      <w:rPr/>
    </w:lvl>
  </w:abstractNum>
  <w:abstractNum w:abstractNumId="2">
    <w:lvl w:ilvl="0">
      <w:start w:val="1"/>
      <w:numFmt w:val="decimal"/>
      <w:lvlText w:val="%1."/>
      <w:lvlJc w:val="center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center"/>
      <w:pPr>
        <w:ind w:left="1778" w:hanging="360"/>
      </w:pPr>
      <w:rPr>
        <w:b w:val="1"/>
        <w:color w:val="000000"/>
      </w:rPr>
    </w:lvl>
    <w:lvl w:ilvl="2">
      <w:start w:val="1"/>
      <w:numFmt w:val="decimal"/>
      <w:lvlText w:val="%3)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bullet"/>
      <w:lvlText w:val="-"/>
      <w:lvlJc w:val="left"/>
      <w:pPr>
        <w:ind w:left="1666" w:hanging="360"/>
      </w:pPr>
      <w:rPr>
        <w:rFonts w:ascii="David" w:cs="David" w:eastAsia="David" w:hAnsi="David"/>
        <w:b w:val="1"/>
      </w:rPr>
    </w:lvl>
    <w:lvl w:ilvl="1">
      <w:start w:val="1"/>
      <w:numFmt w:val="bullet"/>
      <w:lvlText w:val="o"/>
      <w:lvlJc w:val="left"/>
      <w:pPr>
        <w:ind w:left="23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2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1720" w:hanging="360"/>
      </w:pPr>
      <w:rPr>
        <w:rFonts w:ascii="David" w:cs="David" w:eastAsia="David" w:hAnsi="David"/>
      </w:rPr>
    </w:lvl>
    <w:lvl w:ilvl="1">
      <w:start w:val="1"/>
      <w:numFmt w:val="bullet"/>
      <w:lvlText w:val="o"/>
      <w:lvlJc w:val="left"/>
      <w:pPr>
        <w:ind w:left="2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right"/>
      <w:pPr>
        <w:ind w:left="737" w:hanging="567"/>
      </w:pPr>
      <w:rPr>
        <w:b w:val="0"/>
        <w:i w:val="0"/>
        <w:u w:val="none"/>
      </w:rPr>
    </w:lvl>
    <w:lvl w:ilvl="1">
      <w:start w:val="1"/>
      <w:numFmt w:val="decimal"/>
      <w:lvlText w:val="%1.%2."/>
      <w:lvlJc w:val="right"/>
      <w:pPr>
        <w:ind w:left="1418" w:hanging="340.9999999999998"/>
      </w:pPr>
      <w:rPr>
        <w:b w:val="0"/>
      </w:rPr>
    </w:lvl>
    <w:lvl w:ilvl="2">
      <w:start w:val="1"/>
      <w:numFmt w:val="decimal"/>
      <w:lvlText w:val="%1.%2.%3."/>
      <w:lvlJc w:val="right"/>
      <w:pPr>
        <w:ind w:left="2155" w:hanging="227"/>
      </w:pPr>
      <w:rPr/>
    </w:lvl>
    <w:lvl w:ilvl="3">
      <w:start w:val="1"/>
      <w:numFmt w:val="decimal"/>
      <w:lvlText w:val="%1.%2.%3.%4."/>
      <w:lvlJc w:val="right"/>
      <w:pPr>
        <w:ind w:left="2892" w:hanging="114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6" w:hanging="360"/>
      </w:pPr>
      <w:rPr/>
    </w:lvl>
    <w:lvl w:ilvl="1">
      <w:start w:val="1"/>
      <w:numFmt w:val="decimal"/>
      <w:lvlText w:val="%1.%2"/>
      <w:lvlJc w:val="left"/>
      <w:pPr>
        <w:ind w:left="446" w:hanging="360"/>
      </w:pPr>
      <w:rPr/>
    </w:lvl>
    <w:lvl w:ilvl="2">
      <w:start w:val="1"/>
      <w:numFmt w:val="decimal"/>
      <w:lvlText w:val="%1.%2.%3"/>
      <w:lvlJc w:val="left"/>
      <w:pPr>
        <w:ind w:left="1166" w:hanging="720"/>
      </w:pPr>
      <w:rPr/>
    </w:lvl>
    <w:lvl w:ilvl="3">
      <w:start w:val="1"/>
      <w:numFmt w:val="decimal"/>
      <w:lvlText w:val="%1.%2.%3.%4"/>
      <w:lvlJc w:val="left"/>
      <w:pPr>
        <w:ind w:left="1526" w:hanging="720"/>
      </w:pPr>
      <w:rPr/>
    </w:lvl>
    <w:lvl w:ilvl="4">
      <w:start w:val="1"/>
      <w:numFmt w:val="decimal"/>
      <w:lvlText w:val="%1.%2.%3.%4.%5"/>
      <w:lvlJc w:val="left"/>
      <w:pPr>
        <w:ind w:left="2246" w:hanging="1080"/>
      </w:pPr>
      <w:rPr/>
    </w:lvl>
    <w:lvl w:ilvl="5">
      <w:start w:val="1"/>
      <w:numFmt w:val="decimal"/>
      <w:lvlText w:val="1.1%6"/>
      <w:lvlJc w:val="left"/>
      <w:pPr>
        <w:ind w:left="2606" w:hanging="1079.9999999999998"/>
      </w:pPr>
      <w:rPr/>
    </w:lvl>
    <w:lvl w:ilvl="6">
      <w:start w:val="1"/>
      <w:numFmt w:val="decimal"/>
      <w:lvlText w:val="%1.%2.%3.%4.%5.%6.%7"/>
      <w:lvlJc w:val="left"/>
      <w:pPr>
        <w:ind w:left="2966" w:hanging="1079.9999999999998"/>
      </w:pPr>
      <w:rPr/>
    </w:lvl>
    <w:lvl w:ilvl="7">
      <w:start w:val="1"/>
      <w:numFmt w:val="decimal"/>
      <w:lvlText w:val="%1.%2.%3.%4.%5.%6.%7.%8"/>
      <w:lvlJc w:val="left"/>
      <w:pPr>
        <w:ind w:left="3686" w:hanging="1440"/>
      </w:pPr>
      <w:rPr/>
    </w:lvl>
    <w:lvl w:ilvl="8">
      <w:start w:val="1"/>
      <w:numFmt w:val="decimal"/>
      <w:lvlText w:val="%1.%2.%3.%4.%5.%6.%7.%8.%9"/>
      <w:lvlJc w:val="left"/>
      <w:pPr>
        <w:ind w:left="4046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1" w:default="1">
    <w:name w:val="Default Paragraph Font"/>
    <w:uiPriority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paragraph" w:styleId="a4">
    <w:name w:val="List Paragraph"/>
    <w:aliases w:val="LP1,פיסקת bullets,lp1,Bullet List,FooterText,numbered,Paragraphe de liste1,מפרט פירוט סעיפים,PRIVACY List Paragraph,x.x.x.x,Bullet Number,Use Case List Paragraph,Num Bullet 1,style 2,List Paragraph_0,List Paragraph_1,רשימה א.ב,פיסקת רשימה11"/>
    <w:basedOn w:val="a0"/>
    <w:link w:val="a5"/>
    <w:uiPriority w:val="34"/>
    <w:qFormat w:val="1"/>
    <w:rsid w:val="00FD2728"/>
    <w:pPr>
      <w:ind w:left="720"/>
      <w:contextualSpacing w:val="1"/>
    </w:pPr>
  </w:style>
  <w:style w:type="character" w:styleId="Hyperlink">
    <w:name w:val="Hyperlink"/>
    <w:basedOn w:val="a1"/>
    <w:unhideWhenUsed w:val="1"/>
    <w:rsid w:val="00BC5AC3"/>
    <w:rPr>
      <w:color w:val="0563c1" w:themeColor="hyperlink"/>
      <w:u w:val="single"/>
    </w:rPr>
  </w:style>
  <w:style w:type="paragraph" w:styleId="a6">
    <w:name w:val="Body Text"/>
    <w:basedOn w:val="a0"/>
    <w:link w:val="a7"/>
    <w:semiHidden w:val="1"/>
    <w:unhideWhenUsed w:val="1"/>
    <w:rsid w:val="00E35CE7"/>
    <w:pPr>
      <w:spacing w:after="0" w:line="240" w:lineRule="auto"/>
      <w:jc w:val="center"/>
    </w:pPr>
    <w:rPr>
      <w:rFonts w:ascii="Times New Roman" w:cs="David" w:eastAsia="Times New Roman" w:hAnsi="Times New Roman"/>
      <w:b w:val="1"/>
      <w:bCs w:val="1"/>
      <w:sz w:val="72"/>
      <w:szCs w:val="72"/>
      <w:lang w:eastAsia="he-IL"/>
    </w:rPr>
  </w:style>
  <w:style w:type="character" w:styleId="a7" w:customStyle="1">
    <w:name w:val="גוף טקסט תו"/>
    <w:basedOn w:val="a1"/>
    <w:link w:val="a6"/>
    <w:semiHidden w:val="1"/>
    <w:rsid w:val="00E35CE7"/>
    <w:rPr>
      <w:rFonts w:ascii="Times New Roman" w:cs="David" w:eastAsia="Times New Roman" w:hAnsi="Times New Roman"/>
      <w:b w:val="1"/>
      <w:bCs w:val="1"/>
      <w:sz w:val="72"/>
      <w:szCs w:val="72"/>
      <w:lang w:eastAsia="he-IL"/>
    </w:rPr>
  </w:style>
  <w:style w:type="character" w:styleId="a5" w:customStyle="1">
    <w:name w:val="פיסקת רשימה תו"/>
    <w:aliases w:val="LP1 תו,פיסקת bullets תו,lp1 תו,Bullet List תו,FooterText תו,numbered תו,Paragraphe de liste1 תו,מפרט פירוט סעיפים תו,PRIVACY List Paragraph תו,x.x.x.x תו,Bullet Number תו,Use Case List Paragraph תו,Num Bullet 1 תו,style 2 תו,רשימה א.ב תו"/>
    <w:link w:val="a4"/>
    <w:uiPriority w:val="34"/>
    <w:locked w:val="1"/>
    <w:rsid w:val="00E35CE7"/>
  </w:style>
  <w:style w:type="paragraph" w:styleId="a8">
    <w:name w:val="Revision"/>
    <w:hidden w:val="1"/>
    <w:uiPriority w:val="99"/>
    <w:semiHidden w:val="1"/>
    <w:rsid w:val="008707B3"/>
    <w:pPr>
      <w:spacing w:after="0" w:line="240" w:lineRule="auto"/>
    </w:pPr>
  </w:style>
  <w:style w:type="character" w:styleId="a9">
    <w:name w:val="annotation reference"/>
    <w:basedOn w:val="a1"/>
    <w:uiPriority w:val="99"/>
    <w:semiHidden w:val="1"/>
    <w:unhideWhenUsed w:val="1"/>
    <w:rsid w:val="00A6665D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 w:val="1"/>
    <w:rsid w:val="00A6665D"/>
    <w:pPr>
      <w:spacing w:line="240" w:lineRule="auto"/>
    </w:pPr>
    <w:rPr>
      <w:sz w:val="20"/>
      <w:szCs w:val="20"/>
    </w:rPr>
  </w:style>
  <w:style w:type="character" w:styleId="ab" w:customStyle="1">
    <w:name w:val="טקסט הערה תו"/>
    <w:basedOn w:val="a1"/>
    <w:link w:val="aa"/>
    <w:uiPriority w:val="99"/>
    <w:rsid w:val="00A6665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 w:val="1"/>
    <w:unhideWhenUsed w:val="1"/>
    <w:rsid w:val="00A6665D"/>
    <w:rPr>
      <w:b w:val="1"/>
      <w:bCs w:val="1"/>
    </w:rPr>
  </w:style>
  <w:style w:type="character" w:styleId="ad" w:customStyle="1">
    <w:name w:val="נושא הערה תו"/>
    <w:basedOn w:val="ab"/>
    <w:link w:val="ac"/>
    <w:uiPriority w:val="99"/>
    <w:semiHidden w:val="1"/>
    <w:rsid w:val="00A6665D"/>
    <w:rPr>
      <w:b w:val="1"/>
      <w:bCs w:val="1"/>
      <w:sz w:val="20"/>
      <w:szCs w:val="20"/>
    </w:rPr>
  </w:style>
  <w:style w:type="paragraph" w:styleId="ae">
    <w:name w:val="Balloon Text"/>
    <w:basedOn w:val="a0"/>
    <w:link w:val="af"/>
    <w:uiPriority w:val="99"/>
    <w:semiHidden w:val="1"/>
    <w:unhideWhenUsed w:val="1"/>
    <w:rsid w:val="00482ED5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f" w:customStyle="1">
    <w:name w:val="טקסט בלונים תו"/>
    <w:basedOn w:val="a1"/>
    <w:link w:val="ae"/>
    <w:uiPriority w:val="99"/>
    <w:semiHidden w:val="1"/>
    <w:rsid w:val="00482ED5"/>
    <w:rPr>
      <w:rFonts w:ascii="Tahoma" w:cs="Tahoma" w:hAnsi="Tahoma"/>
      <w:sz w:val="18"/>
      <w:szCs w:val="18"/>
    </w:rPr>
  </w:style>
  <w:style w:type="paragraph" w:styleId="ENGLISHNUM" w:customStyle="1">
    <w:name w:val="ENGLISHNUM"/>
    <w:basedOn w:val="a0"/>
    <w:rsid w:val="00EF07B7"/>
    <w:pPr>
      <w:numPr>
        <w:numId w:val="21"/>
      </w:numPr>
      <w:bidi w:val="0"/>
      <w:spacing w:after="0" w:before="240" w:line="240" w:lineRule="auto"/>
      <w:jc w:val="right"/>
    </w:pPr>
    <w:rPr>
      <w:rFonts w:ascii="Arial" w:cs="Miriam" w:eastAsia="Calibri" w:hAnsi="Arial"/>
      <w:sz w:val="24"/>
      <w:szCs w:val="20"/>
    </w:rPr>
  </w:style>
  <w:style w:type="paragraph" w:styleId="a" w:customStyle="1">
    <w:name w:val="ממוספר"/>
    <w:basedOn w:val="a0"/>
    <w:link w:val="af0"/>
    <w:rsid w:val="00162468"/>
    <w:pPr>
      <w:numPr>
        <w:numId w:val="22"/>
      </w:numPr>
      <w:spacing w:after="0" w:before="240" w:line="240" w:lineRule="auto"/>
      <w:jc w:val="both"/>
    </w:pPr>
    <w:rPr>
      <w:rFonts w:ascii="Times New Roman" w:cs="David" w:eastAsia="Calibri" w:hAnsi="Times New Roman"/>
      <w:szCs w:val="24"/>
    </w:rPr>
  </w:style>
  <w:style w:type="character" w:styleId="af0" w:customStyle="1">
    <w:name w:val="ממוספר תו"/>
    <w:link w:val="a"/>
    <w:rsid w:val="00162468"/>
    <w:rPr>
      <w:rFonts w:ascii="Times New Roman" w:cs="David" w:eastAsia="Calibri" w:hAnsi="Times New Roman"/>
      <w:szCs w:val="24"/>
    </w:rPr>
  </w:style>
  <w:style w:type="paragraph" w:styleId="af1">
    <w:name w:val="header"/>
    <w:basedOn w:val="a0"/>
    <w:link w:val="af2"/>
    <w:uiPriority w:val="99"/>
    <w:unhideWhenUsed w:val="1"/>
    <w:rsid w:val="007426EE"/>
    <w:pPr>
      <w:tabs>
        <w:tab w:val="center" w:pos="4153"/>
        <w:tab w:val="right" w:pos="8306"/>
      </w:tabs>
      <w:spacing w:after="0" w:line="240" w:lineRule="auto"/>
    </w:pPr>
  </w:style>
  <w:style w:type="character" w:styleId="af2" w:customStyle="1">
    <w:name w:val="כותרת עליונה תו"/>
    <w:basedOn w:val="a1"/>
    <w:link w:val="af1"/>
    <w:uiPriority w:val="99"/>
    <w:rsid w:val="007426EE"/>
  </w:style>
  <w:style w:type="paragraph" w:styleId="af3">
    <w:name w:val="footer"/>
    <w:basedOn w:val="a0"/>
    <w:link w:val="af4"/>
    <w:uiPriority w:val="99"/>
    <w:unhideWhenUsed w:val="1"/>
    <w:rsid w:val="007426EE"/>
    <w:pPr>
      <w:tabs>
        <w:tab w:val="center" w:pos="4153"/>
        <w:tab w:val="right" w:pos="8306"/>
      </w:tabs>
      <w:spacing w:after="0" w:line="240" w:lineRule="auto"/>
    </w:pPr>
  </w:style>
  <w:style w:type="character" w:styleId="af4" w:customStyle="1">
    <w:name w:val="כותרת תחתונה תו"/>
    <w:basedOn w:val="a1"/>
    <w:link w:val="af3"/>
    <w:uiPriority w:val="99"/>
    <w:rsid w:val="007426E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F50ZjGNwZR+/HHIholrc4hK3A==">CgMxLjAyDmguOHo1azkwM2xuZ3FoMg5oLnF2NnNobXRzMGFqYTIOaC5mMDFyN2hoN3l6ZXMyDmguaTBxOGZkbG42NWxmMg1oLjh1ZHZjbW9hZmU1OAByITFsVzVPLUVILW4tdVhCNndfV3I4ZjNiTG5ONGhpVFBvVw==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2025-06-25T07:35:00Z</dcterms:created>
  <dc:creator>משרד אריה שוורץ מהנדסים</dc:creator>
</cp:coreProperties>
</file>