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25/5/2025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 </w:t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6-2025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מלכתחילה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סגירת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18/6/2025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ההגשה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בתוקפה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30/9/2025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דוגמא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after="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והשינויים</w:t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69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8"/>
        <w:gridCol w:w="783"/>
        <w:gridCol w:w="1158"/>
        <w:gridCol w:w="1478"/>
        <w:gridCol w:w="7581"/>
        <w:gridCol w:w="2969"/>
        <w:tblGridChange w:id="0">
          <w:tblGrid>
            <w:gridCol w:w="728"/>
            <w:gridCol w:w="783"/>
            <w:gridCol w:w="1158"/>
            <w:gridCol w:w="1478"/>
            <w:gridCol w:w="7581"/>
            <w:gridCol w:w="2969"/>
          </w:tblGrid>
        </w:tblGridChange>
      </w:tblGrid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מבוקשת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תשובה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בהמשך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להסכמתו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במפגש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במשרדכם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לדעת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המחירים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הזוכים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bookmarkStart w:colFirst="0" w:colLast="0" w:name="_heading=h.qzche01g6gza" w:id="0"/>
            <w:bookmarkEnd w:id="0"/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1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אספקת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כימיקלים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למחזור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וקולחין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ממוקם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פיזית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במועצה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שהינה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40,000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תושבים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קולט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קולחין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עיריות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בגודל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100,000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תושבים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אחת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2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הסכם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להארכת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להצגת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עקב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הזמן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הארוך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שלוקח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לחברת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להנפיק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)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הסכם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8.5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מצוין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המחירים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יוצמדו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למדד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המחירים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לצרכן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2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וודאות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בשווקים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המכסים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שהטיל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הממשל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האמריקאי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ואצלנו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הבטחוני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השפעות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יכולות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להשפיע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דרסטי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מחירי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חומרי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הגלם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ומחירי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ההובלה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מנגנון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הצמדה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שיעדכן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המחירים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העולה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7%. </w:t>
            </w:r>
          </w:p>
          <w:p w:rsidR="00000000" w:rsidDel="00000000" w:rsidP="00000000" w:rsidRDefault="00000000" w:rsidRPr="00000000" w14:paraId="0000003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מנגנון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אפשרי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נתונים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בעולם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פנייתו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לעדכון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המחיר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הסכם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לרשום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המשפט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להודיע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היוודע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למנהליו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אירוע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העלול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לתביעה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מקצועית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שלישי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מעבידים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נושא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".</w:t>
            </w:r>
          </w:p>
          <w:p w:rsidR="00000000" w:rsidDel="00000000" w:rsidP="00000000" w:rsidRDefault="00000000" w:rsidRPr="00000000" w14:paraId="0000003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הסכם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לבטל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</w:t>
            </w:r>
          </w:p>
          <w:p w:rsidR="00000000" w:rsidDel="00000000" w:rsidP="00000000" w:rsidRDefault="00000000" w:rsidRPr="00000000" w14:paraId="0000003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המבטח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בסיס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תביעה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הסתיימה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הודעות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שכחו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."</w:t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טכני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אפשרות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ברכוז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35%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בריכוז</w:t>
            </w:r>
          </w:p>
          <w:p w:rsidR="00000000" w:rsidDel="00000000" w:rsidP="00000000" w:rsidRDefault="00000000" w:rsidRPr="00000000" w14:paraId="0000004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35%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להניח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הקובייה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שלוש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קוביות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ורוצים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להניח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קוביה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הקוביה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שמחליפים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טופס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הספקה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במכלית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הספקה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ותדירות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ניסיונכם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האחרונה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שנתית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משוערת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תדירות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אחזקה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לחלקי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חילוף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תדירות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אחזקה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ניסיונכם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מרכיב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משמעותי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בתמחור</w:t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המשאבות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חדשות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השאר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בלאי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רגיל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הצהרת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2.4,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4.2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2.4,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4.2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טכני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1.5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אומר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ויתברר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ריכוז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החומר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מהכימיקלים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שסופקו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עומד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בדוח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בדעקת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המעבדהף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יוטל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קנס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30,000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אפשרות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הרכוז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להפחית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הקנס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יחסי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לסטייה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מהריכוז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המבוקש</w:t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אלומניום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סולפט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25%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הריכוזים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6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•</w:t>
              <w:tab/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Al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₂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₃: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-8%–9%</w:t>
            </w:r>
          </w:p>
          <w:p w:rsidR="00000000" w:rsidDel="00000000" w:rsidP="00000000" w:rsidRDefault="00000000" w:rsidRPr="00000000" w14:paraId="0000006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•</w:t>
              <w:tab/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₃: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-24%–26%</w:t>
            </w:r>
          </w:p>
          <w:p w:rsidR="00000000" w:rsidDel="00000000" w:rsidP="00000000" w:rsidRDefault="00000000" w:rsidRPr="00000000" w14:paraId="00000069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היפוכלוריד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12%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הריכוזים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•</w:t>
              <w:tab/>
              <w:t xml:space="preserve">NaOCl : 12.5%–13.2%</w:t>
            </w:r>
          </w:p>
          <w:p w:rsidR="00000000" w:rsidDel="00000000" w:rsidP="00000000" w:rsidRDefault="00000000" w:rsidRPr="00000000" w14:paraId="0000006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•</w:t>
              <w:tab/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זמינות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11.9%–12.6%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דגשים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והנחיות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להתייחסות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עדינה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לעניין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הריכוז</w:t>
            </w:r>
          </w:p>
          <w:p w:rsidR="00000000" w:rsidDel="00000000" w:rsidP="00000000" w:rsidRDefault="00000000" w:rsidRPr="00000000" w14:paraId="00000072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בהתייחסות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לקנס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12.6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הארץ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12.6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13 ,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העדפת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הארץ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הנשאלת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לשיקול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החלטה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סופית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תכובד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העדפת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הארץ</w:t>
            </w:r>
          </w:p>
          <w:p w:rsidR="00000000" w:rsidDel="00000000" w:rsidP="00000000" w:rsidRDefault="00000000" w:rsidRPr="00000000" w14:paraId="0000007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העדפת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הארץ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תשנ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1995  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ילקחו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במניין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שיקולי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וועדת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2.3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לגבי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הגופרת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נחושת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</w:t>
            </w:r>
          </w:p>
          <w:p w:rsidR="00000000" w:rsidDel="00000000" w:rsidP="00000000" w:rsidRDefault="00000000" w:rsidRPr="00000000" w14:paraId="0000008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גודל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המיכל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שלושה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מיכלים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כלוריד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חלקי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חילוף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צנרות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פקק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ומחברים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לאלקטרודה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מפורטים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במדידת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הצורך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 +1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בהמשך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 +1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צוין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4.2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מבוטלים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9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לסעיפים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?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המסמכים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מעודכנים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?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מעודכנים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מחייבים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ויחשבו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כחלק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יצורפו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כשהם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חתומים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 +1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בהמשך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דחיה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18.6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לאפשר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לשלוח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22.5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נוספות</w:t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אושרה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יאוחר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22/5/25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12:00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10.1.2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לבדו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לרשופ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דין</w:t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10.1.3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לפצותם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לרשום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לשפותם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10.1.9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10.1.10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שגיאה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מקצועית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במילוי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חובתו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לגרוע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....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תקופה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בקצועית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-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לתקופה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חודשים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10.2.2.1.4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מנהליהם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10.2.2.2.5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בבעלותו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שימוש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10.2.1.3.1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D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10.2.1.3.4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באחריותו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להרחיב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10.2.1.3.4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תוחב</w:t>
            </w:r>
          </w:p>
        </w:tc>
        <w:tc>
          <w:tcPr/>
          <w:p w:rsidR="00000000" w:rsidDel="00000000" w:rsidP="00000000" w:rsidRDefault="00000000" w:rsidRPr="00000000" w14:paraId="000000E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10.2.1.3.4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מנהליהםו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E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10.2.1.3.7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...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".</w:t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10.2.1.3.7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חודשים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F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</w:p>
        </w:tc>
        <w:tc>
          <w:tcPr/>
          <w:p w:rsidR="00000000" w:rsidDel="00000000" w:rsidP="00000000" w:rsidRDefault="00000000" w:rsidRPr="00000000" w14:paraId="0000010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המסמכים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....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10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</w:p>
        </w:tc>
        <w:tc>
          <w:tcPr/>
          <w:p w:rsidR="00000000" w:rsidDel="00000000" w:rsidP="00000000" w:rsidRDefault="00000000" w:rsidRPr="00000000" w14:paraId="0000010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</w:tc>
        <w:tc>
          <w:tcPr/>
          <w:p w:rsidR="00000000" w:rsidDel="00000000" w:rsidP="00000000" w:rsidRDefault="00000000" w:rsidRPr="00000000" w14:paraId="0000011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11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נמסרה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לרשום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נשלחה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11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בבעלותו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המשמש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2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</w:tc>
        <w:tc>
          <w:tcPr/>
          <w:p w:rsidR="00000000" w:rsidDel="00000000" w:rsidP="00000000" w:rsidRDefault="00000000" w:rsidRPr="00000000" w14:paraId="0000012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10.12.18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....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מטעמו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13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בכפוף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לאיושרי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האחידים</w:t>
            </w:r>
          </w:p>
        </w:tc>
        <w:tc>
          <w:tcPr/>
          <w:p w:rsidR="00000000" w:rsidDel="00000000" w:rsidP="00000000" w:rsidRDefault="00000000" w:rsidRPr="00000000" w14:paraId="0000013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</w:tc>
        <w:tc>
          <w:tcPr/>
          <w:p w:rsidR="00000000" w:rsidDel="00000000" w:rsidP="00000000" w:rsidRDefault="00000000" w:rsidRPr="00000000" w14:paraId="0000013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</w:tc>
        <w:tc>
          <w:tcPr/>
          <w:p w:rsidR="00000000" w:rsidDel="00000000" w:rsidP="00000000" w:rsidRDefault="00000000" w:rsidRPr="00000000" w14:paraId="0000014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</w:tc>
        <w:tc>
          <w:tcPr/>
          <w:p w:rsidR="00000000" w:rsidDel="00000000" w:rsidP="00000000" w:rsidRDefault="00000000" w:rsidRPr="00000000" w14:paraId="0000014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המפקח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</w:p>
        </w:tc>
        <w:tc>
          <w:tcPr/>
          <w:p w:rsidR="00000000" w:rsidDel="00000000" w:rsidP="00000000" w:rsidRDefault="00000000" w:rsidRPr="00000000" w14:paraId="0000014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10.2.32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</w:tc>
        <w:tc>
          <w:tcPr/>
          <w:p w:rsidR="00000000" w:rsidDel="00000000" w:rsidP="00000000" w:rsidRDefault="00000000" w:rsidRPr="00000000" w14:paraId="0000015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10.1.2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לבדו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לרשופ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דין</w:t>
            </w:r>
          </w:p>
        </w:tc>
        <w:tc>
          <w:tcPr/>
          <w:p w:rsidR="00000000" w:rsidDel="00000000" w:rsidP="00000000" w:rsidRDefault="00000000" w:rsidRPr="00000000" w14:paraId="0000015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10.1.3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לפצותם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לרשום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לשפותם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16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10.1.9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</w:tc>
        <w:tc>
          <w:tcPr/>
          <w:p w:rsidR="00000000" w:rsidDel="00000000" w:rsidP="00000000" w:rsidRDefault="00000000" w:rsidRPr="00000000" w14:paraId="0000016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לגרוע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....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16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תקופה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17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בקצועית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-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לתקופה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חודשים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17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10.2.2.1.4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מנהליהם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17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10.2.2.2.5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בבעלותו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שימוש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18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בבעלותו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המשמש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8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</w:tc>
        <w:tc>
          <w:tcPr/>
          <w:p w:rsidR="00000000" w:rsidDel="00000000" w:rsidP="00000000" w:rsidRDefault="00000000" w:rsidRPr="00000000" w14:paraId="0000019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10.12.18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....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מטעמו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19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בכפוף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לאיושרי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האחידים</w:t>
            </w:r>
          </w:p>
        </w:tc>
        <w:tc>
          <w:tcPr/>
          <w:p w:rsidR="00000000" w:rsidDel="00000000" w:rsidP="00000000" w:rsidRDefault="00000000" w:rsidRPr="00000000" w14:paraId="0000019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</w:tc>
        <w:tc>
          <w:tcPr/>
          <w:p w:rsidR="00000000" w:rsidDel="00000000" w:rsidP="00000000" w:rsidRDefault="00000000" w:rsidRPr="00000000" w14:paraId="000001A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</w:tc>
        <w:tc>
          <w:tcPr/>
          <w:p w:rsidR="00000000" w:rsidDel="00000000" w:rsidP="00000000" w:rsidRDefault="00000000" w:rsidRPr="00000000" w14:paraId="000001A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</w:tc>
        <w:tc>
          <w:tcPr/>
          <w:p w:rsidR="00000000" w:rsidDel="00000000" w:rsidP="00000000" w:rsidRDefault="00000000" w:rsidRPr="00000000" w14:paraId="000001A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המפקח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</w:p>
        </w:tc>
        <w:tc>
          <w:tcPr/>
          <w:p w:rsidR="00000000" w:rsidDel="00000000" w:rsidP="00000000" w:rsidRDefault="00000000" w:rsidRPr="00000000" w14:paraId="000001B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</w:tc>
        <w:tc>
          <w:tcPr/>
          <w:p w:rsidR="00000000" w:rsidDel="00000000" w:rsidP="00000000" w:rsidRDefault="00000000" w:rsidRPr="00000000" w14:paraId="000001B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שתשקלו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דחייה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בשבועיים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לשבועיים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ולוחות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הזמנים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פסח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מכניסים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אותנו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צפוף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תודה</w:t>
            </w:r>
          </w:p>
        </w:tc>
        <w:tc>
          <w:tcPr/>
          <w:p w:rsidR="00000000" w:rsidDel="00000000" w:rsidP="00000000" w:rsidRDefault="00000000" w:rsidRPr="00000000" w14:paraId="000001C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יאוחר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18/6/2025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12:00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ערבות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-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-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לעמוד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בתוקפה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1/8/2025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להבטחת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מעודכן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לתוקף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דחיית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?</w:t>
            </w:r>
          </w:p>
        </w:tc>
        <w:tc>
          <w:tcPr/>
          <w:p w:rsidR="00000000" w:rsidDel="00000000" w:rsidP="00000000" w:rsidRDefault="00000000" w:rsidRPr="00000000" w14:paraId="000001C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לעמוד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בתוקפה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30/9/2025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להבטחת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בנוגע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לטבלת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מחירים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חלקי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חילוף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שסתומים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משאבות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')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לעמוד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בתמחור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שצוין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נשמח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מפרטים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שנוכל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לבדוק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המחירים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שמופיעים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משקפים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העלויות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הקיימות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חומרים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+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1C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התייחסות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בהמשך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תחזוקת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מנע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תחזוקה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תבוצע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ביקור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חודשי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יזום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יבוצעו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פעולות</w:t>
            </w:r>
          </w:p>
          <w:p w:rsidR="00000000" w:rsidDel="00000000" w:rsidP="00000000" w:rsidRDefault="00000000" w:rsidRPr="00000000" w14:paraId="000001D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תחזוקה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שוטפת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שיפורים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לדרישת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המנהל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1D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הבהרתכם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לגבי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המושג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שיפורים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השיפורים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יחרגו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המקובלות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בביקור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חודשי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המקובלות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בביקור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חודשי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8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D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מכאן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אשמח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דחייה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נוספים</w:t>
            </w:r>
          </w:p>
        </w:tc>
        <w:tc>
          <w:tcPr/>
          <w:p w:rsidR="00000000" w:rsidDel="00000000" w:rsidP="00000000" w:rsidRDefault="00000000" w:rsidRPr="00000000" w14:paraId="000001D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יאוחר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18/6/2025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12:00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שתשקלו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דחייה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בחודש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עקב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החגים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הקרובים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והלחץ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שנלווה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בתקופה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זאת</w:t>
            </w:r>
          </w:p>
        </w:tc>
        <w:tc>
          <w:tcPr/>
          <w:p w:rsidR="00000000" w:rsidDel="00000000" w:rsidP="00000000" w:rsidRDefault="00000000" w:rsidRPr="00000000" w14:paraId="000001E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יאוחר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18/6/2025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12:00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בהמשך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למפגש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הקודם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בתחזוקה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שהוסכם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תחזוקתי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הזכייה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להשתמש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שיאושר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והסירו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תחזוקתי</w:t>
            </w:r>
          </w:p>
        </w:tc>
        <w:tc>
          <w:tcPr/>
          <w:p w:rsidR="00000000" w:rsidDel="00000000" w:rsidP="00000000" w:rsidRDefault="00000000" w:rsidRPr="00000000" w14:paraId="000001E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1 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4.2 -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להשתתף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ולהגיש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שסיפק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ברצף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במשך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2022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2024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."</w:t>
              <w:br w:type="textWrapping"/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למשמעות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הספקה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ברצף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המשמעות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אספקה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ברצף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אספקה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מתמשכת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חומרים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כימיים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תקופה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2022 – 2024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 </w:t>
            </w:r>
          </w:p>
        </w:tc>
      </w:tr>
      <w:tr>
        <w:trPr>
          <w:cantSplit w:val="0"/>
          <w:trHeight w:val="32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3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4.2</w:t>
            </w:r>
          </w:p>
          <w:p w:rsidR="00000000" w:rsidDel="00000000" w:rsidP="00000000" w:rsidRDefault="00000000" w:rsidRPr="00000000" w14:paraId="000001F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בהספקת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כימיקלים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גדולה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4.2  -</w:t>
            </w:r>
          </w:p>
          <w:p w:rsidR="00000000" w:rsidDel="00000000" w:rsidP="00000000" w:rsidRDefault="00000000" w:rsidRPr="00000000" w14:paraId="000001F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שסיפק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במשך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2022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2024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כימיקלים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בצובר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הנדרשים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לתהליכי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טיהור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הקולט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שסך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תושביהן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40,000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תושבים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נתוני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הלשכה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המרכזית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לסטטיסטיקה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המעודכנים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סגירת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1F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F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1F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1FB">
      <w:pPr>
        <w:bidi w:val="1"/>
        <w:spacing w:after="11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</w:p>
    <w:p w:rsidR="00000000" w:rsidDel="00000000" w:rsidP="00000000" w:rsidRDefault="00000000" w:rsidRPr="00000000" w14:paraId="000001FC">
      <w:pPr>
        <w:bidi w:val="1"/>
        <w:spacing w:after="11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w:drawing>
          <wp:inline distB="0" distT="0" distL="0" distR="0">
            <wp:extent cx="5274310" cy="3486150"/>
            <wp:effectExtent b="0" l="0" r="0" t="0"/>
            <wp:docPr descr="תמונה שמכילה טקסט, כתב יד, גופן, מספר&#10;&#10;תוכן שנוצר על-ידי בינה מלאכותית עשוי להיות שגוי." id="1897341828" name="image1.png"/>
            <a:graphic>
              <a:graphicData uri="http://schemas.openxmlformats.org/drawingml/2006/picture">
                <pic:pic>
                  <pic:nvPicPr>
                    <pic:cNvPr descr="תמונה שמכילה טקסט, כתב יד, גופן, מספר&#10;&#10;תוכן שנוצר על-ידי בינה מלאכותית עשוי להיות שגוי.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6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138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1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138"/>
      </w:tabs>
      <w:spacing w:after="0" w:before="0" w:line="36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table" w:styleId="a9">
    <w:name w:val="Table Grid"/>
    <w:basedOn w:val="a1"/>
    <w:rsid w:val="006644B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 Spacing"/>
    <w:uiPriority w:val="1"/>
    <w:qFormat w:val="1"/>
    <w:rsid w:val="005440C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פיסקת רשימה תו"/>
    <w:basedOn w:val="a0"/>
    <w:link w:val="a7"/>
    <w:uiPriority w:val="34"/>
    <w:locked w:val="1"/>
    <w:rsid w:val="00AB46AA"/>
  </w:style>
  <w:style w:type="paragraph" w:styleId="ab">
    <w:name w:val="Revision"/>
    <w:hidden w:val="1"/>
    <w:uiPriority w:val="99"/>
    <w:semiHidden w:val="1"/>
    <w:rsid w:val="00953296"/>
    <w:pPr>
      <w:spacing w:after="0" w:line="240" w:lineRule="auto"/>
    </w:pPr>
  </w:style>
  <w:style w:type="character" w:styleId="fontstyle01" w:customStyle="1">
    <w:name w:val="fontstyle01"/>
    <w:basedOn w:val="a0"/>
    <w:rsid w:val="009D5392"/>
    <w:rPr>
      <w:b w:val="0"/>
      <w:bCs w:val="0"/>
      <w:i w:val="0"/>
      <w:iCs w:val="0"/>
      <w:color w:val="000000"/>
      <w:sz w:val="24"/>
      <w:szCs w:val="24"/>
    </w:rPr>
  </w:style>
  <w:style w:type="character" w:styleId="ac">
    <w:name w:val="annotation reference"/>
    <w:basedOn w:val="a0"/>
    <w:uiPriority w:val="99"/>
    <w:semiHidden w:val="1"/>
    <w:unhideWhenUsed w:val="1"/>
    <w:rsid w:val="007A14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 w:val="1"/>
    <w:rsid w:val="007A143D"/>
    <w:pPr>
      <w:spacing w:line="240" w:lineRule="auto"/>
    </w:pPr>
    <w:rPr>
      <w:sz w:val="20"/>
      <w:szCs w:val="20"/>
    </w:rPr>
  </w:style>
  <w:style w:type="character" w:styleId="ae" w:customStyle="1">
    <w:name w:val="טקסט הערה תו"/>
    <w:basedOn w:val="a0"/>
    <w:link w:val="ad"/>
    <w:uiPriority w:val="99"/>
    <w:rsid w:val="007A14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7A143D"/>
    <w:rPr>
      <w:b w:val="1"/>
      <w:bCs w:val="1"/>
    </w:rPr>
  </w:style>
  <w:style w:type="character" w:styleId="af0" w:customStyle="1">
    <w:name w:val="נושא הערה תו"/>
    <w:basedOn w:val="ae"/>
    <w:link w:val="af"/>
    <w:uiPriority w:val="99"/>
    <w:semiHidden w:val="1"/>
    <w:rsid w:val="007A143D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m0zJT1N99vir/nBCesEfLtlbQ==">CgMxLjAyDmgucXpjaGUwMWc2Z3phOAByITF1eTZDRzZSSWdPZUp2WmZ2YWdzbkRnamh3ZTEyZkpIZg==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2025-05-25T09:47:00Z</dcterms:created>
  <dc:creator>rony shani</dc:creator>
</cp:coreProperties>
</file>