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 8-2025</w:t>
      </w:r>
    </w:p>
    <w:p w:rsidR="00000000" w:rsidDel="00000000" w:rsidP="00000000" w:rsidRDefault="00000000" w:rsidRPr="00000000" w14:paraId="00000002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למשתתפים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5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הבחינה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המקדמית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25/6/2025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13:00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7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המעטפות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בפתיחה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מוזמנים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שיחפצו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A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0C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D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bidi w:val="1"/>
      <w:spacing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11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2">
    <w:pPr>
      <w:spacing w:line="360" w:lineRule="auto"/>
      <w:rPr/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09003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09003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09003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09003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09003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09003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09003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09003A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09003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09003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09003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09003A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0900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09003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09003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09003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09003A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09003A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09003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09003A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09003A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a0"/>
    <w:uiPriority w:val="99"/>
    <w:unhideWhenUsed w:val="1"/>
    <w:rsid w:val="00EB17D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IX6ZjlRXQz8IQELORqW4xlvo8A==">CgMxLjA4AHIhMVZtMFZaS1ItZlZtSG5ha29zX2RLNjBzdFpOYktmZ2xl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2024-12-26T09:22:00Z</dcterms:created>
  <dc:creator>almogy</dc:creator>
</cp:coreProperties>
</file>