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20/2024</w: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6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17"/>
        <w:gridCol w:w="3987"/>
        <w:tblGridChange w:id="0">
          <w:tblGrid>
            <w:gridCol w:w="4617"/>
            <w:gridCol w:w="39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bidi w:val="1"/>
              <w:spacing w:before="40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לכבוד</w:t>
            </w:r>
          </w:p>
          <w:p w:rsidR="00000000" w:rsidDel="00000000" w:rsidP="00000000" w:rsidRDefault="00000000" w:rsidRPr="00000000" w14:paraId="00000004">
            <w:pPr>
              <w:bidi w:val="1"/>
              <w:spacing w:before="40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משתתפי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המכרז</w:t>
            </w:r>
          </w:p>
        </w:tc>
        <w:tc>
          <w:tcPr/>
          <w:p w:rsidR="00000000" w:rsidDel="00000000" w:rsidP="00000000" w:rsidRDefault="00000000" w:rsidRPr="00000000" w14:paraId="00000005">
            <w:pPr>
              <w:bidi w:val="1"/>
              <w:spacing w:before="40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1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‏‏‏‏08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ספטמבר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2024</w:t>
            </w:r>
          </w:p>
        </w:tc>
      </w:tr>
    </w:tbl>
    <w:p w:rsidR="00000000" w:rsidDel="00000000" w:rsidP="00000000" w:rsidRDefault="00000000" w:rsidRPr="00000000" w14:paraId="00000006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br w:type="textWrapping"/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2</w:t>
      </w:r>
    </w:p>
    <w:p w:rsidR="00000000" w:rsidDel="00000000" w:rsidP="00000000" w:rsidRDefault="00000000" w:rsidRPr="00000000" w14:paraId="00000009">
      <w:pPr>
        <w:bidi w:val="1"/>
        <w:spacing w:after="120" w:line="360" w:lineRule="auto"/>
        <w:ind w:left="107.00000000000003" w:right="-284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")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המענה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ודחיית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מועדים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שבנדון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827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דחיית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אחרון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240" w:line="360" w:lineRule="auto"/>
        <w:ind w:left="827" w:right="-284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לתשומת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יידחה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לתאריך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1.10.2024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12:00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827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מפורטים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6.1, 6.2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- 6.3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בכוונת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מפגש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827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השתתפו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במפגש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במפגש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הנוסף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827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מטרת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מפגש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הנוסף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ליתן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השתתפו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במפגש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ומענה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עלולות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להתעורר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ככלי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עזר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27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המפגש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יתקיים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שברחוב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בתאריך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17.9.2024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12:00  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27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27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מתבקשים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לדייק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ולהופיע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27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27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ההשתתפות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במפגש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827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827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827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תיווצר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ונספחיו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תגברנה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827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בחתימה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827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2"/>
        <w:bidiVisual w:val="1"/>
        <w:tblW w:w="14325.0" w:type="dxa"/>
        <w:jc w:val="left"/>
        <w:tblInd w:w="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5"/>
        <w:gridCol w:w="1725"/>
        <w:gridCol w:w="1755"/>
        <w:gridCol w:w="1695"/>
        <w:gridCol w:w="5385"/>
        <w:gridCol w:w="2160"/>
        <w:tblGridChange w:id="0">
          <w:tblGrid>
            <w:gridCol w:w="1605"/>
            <w:gridCol w:w="1725"/>
            <w:gridCol w:w="1755"/>
            <w:gridCol w:w="1695"/>
            <w:gridCol w:w="5385"/>
            <w:gridCol w:w="2160"/>
          </w:tblGrid>
        </w:tblGridChange>
      </w:tblGrid>
      <w:tr>
        <w:trPr>
          <w:cantSplit w:val="0"/>
          <w:trHeight w:val="979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עמוד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ותת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סעיף</w:t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שאלה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התאמה</w:t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תשובה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525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חוברת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מכרז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spacing w:line="360" w:lineRule="auto"/>
              <w:ind w:left="720" w:firstLine="30.99999999999994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2.4</w:t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spacing w:line="360" w:lineRule="auto"/>
              <w:ind w:left="720" w:firstLine="30.99999999999994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24">
            <w:pPr>
              <w:bidi w:val="1"/>
              <w:spacing w:line="360" w:lineRule="auto"/>
              <w:ind w:left="720" w:firstLine="30.99999999999994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במהלך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7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שקדמו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פרסום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בריכות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שבנייתן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הסתימה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בריכה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3,000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."</w:t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spacing w:after="240" w:line="360" w:lineRule="auto"/>
              <w:ind w:left="720" w:firstLine="30.99999999999994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2.4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יתוקן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לעדכון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6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</w:p>
          <w:p w:rsidR="00000000" w:rsidDel="00000000" w:rsidP="00000000" w:rsidRDefault="00000000" w:rsidRPr="00000000" w14:paraId="00000026">
            <w:pPr>
              <w:bidi w:val="1"/>
              <w:spacing w:after="240" w:line="360" w:lineRule="auto"/>
              <w:ind w:left="720" w:firstLine="30.99999999999994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525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63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69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720" w:right="0" w:firstLine="30.999999999999943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' 2.4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firstLine="30.999999999999943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במהלך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7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שקדמו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פרסום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, 3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בריכות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firstLine="30.999999999999943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שבנייתן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הסתיימה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כאשר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נפח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בריכה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הינו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בנפח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3,000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''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720" w:right="0" w:firstLine="30.999999999999943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לעדכן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במהלך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7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שקדמו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פרסום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בריכות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בנפח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3,000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''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שתכנונם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הסתיים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ונמצאות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בהליך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הקמה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לחילופין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לאשר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הצגת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בריכות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אגירה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שתוכננו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''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הקונסטרוקטור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מטעמנו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, 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שהתכנון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והבנייה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הסתיימה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720" w:right="0" w:firstLine="30.999999999999943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2.4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יתוקן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לעדכון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6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זה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525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63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69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720" w:right="0" w:firstLine="30.999999999999943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2.10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firstLine="30.999999999999943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מעסיק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בהעסקה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ישירה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ביחסי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עובד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מעסיק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ובהיקף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משרה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מלאה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ולא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כפרילנסר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מהנדסים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כאשר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5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מהם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בעלי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7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בתכנון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מערכות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ביוב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ולפחות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מהם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25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בתכנון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מערכות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ביוב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firstLine="30.999999999999943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לעדכן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- 8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מהנדסים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4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מהם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בעלי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7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ולפחות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 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firstLine="30.999999999999943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         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מהם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25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firstLine="30.999999999999943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נודה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לכם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לעדכון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720" w:right="0" w:firstLine="30.999999999999943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firstLine="30.999999999999943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2.10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מבוטל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לעדכון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6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720" w:right="0" w:firstLine="30.999999999999943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 (2.4-2.9),</w:t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בנפרד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בהיותן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מצטברות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בלתי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סבירות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בעינינו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מאפשרות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השתתפות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למשרד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גדול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וותיק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כשלנו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F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לדוגמא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משרד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בריכת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בריכות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ועומד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יכול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בכלל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בתחומים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0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וקוטר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קווים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מתאימים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לדעתנו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למספר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מצומצם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משרדים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מסגרת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הזמן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הקצובה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(7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41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משרדנו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1986,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מעסיק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למעלה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-20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ומשמש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כמתכנן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בתאגידים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עירוניים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גבעתיים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אשדוד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מועצות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אזוריות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ועובד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מרבית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הגופים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הציבוריים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ומשרדי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הממשלה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סביר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בעינינו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שאיננו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יכולים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להשתתף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לביצוע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סבא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ככוכב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יאיר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למוגדר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בנספח</w:t>
            </w:r>
          </w:p>
          <w:p w:rsidR="00000000" w:rsidDel="00000000" w:rsidP="00000000" w:rsidRDefault="00000000" w:rsidRPr="00000000" w14:paraId="00000044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spacing w:line="360" w:lineRule="auto"/>
              <w:ind w:left="720" w:firstLine="135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1.11.1</w:t>
            </w:r>
          </w:p>
          <w:p w:rsidR="00000000" w:rsidDel="00000000" w:rsidP="00000000" w:rsidRDefault="00000000" w:rsidRPr="00000000" w14:paraId="00000049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מגדיר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התשלום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מטלה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יכלול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ההוצאות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שיוציא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וכו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....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לרבות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תשלומים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למתכננים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נותני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ויועצים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שהוא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מאידך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13(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59-60)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מוגדר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התמורה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העסקת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יועץ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סטטוטוריקה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ויועץ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לתיאום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תשתיות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תשולם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בתוספת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דמי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טיפול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10%.</w:t>
            </w:r>
          </w:p>
          <w:p w:rsidR="00000000" w:rsidDel="00000000" w:rsidP="00000000" w:rsidRDefault="00000000" w:rsidRPr="00000000" w14:paraId="0000004C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אנו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ופירוט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נותני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יועצים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מתכננים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משולמים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ואילו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המתכנן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</w:p>
          <w:p w:rsidR="00000000" w:rsidDel="00000000" w:rsidP="00000000" w:rsidRDefault="00000000" w:rsidRPr="00000000" w14:paraId="0000004D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לרבות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מודדים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מאתרי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תשתיות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יועצי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קרקע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קונסטרוקציה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וכו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1"/>
              </w:rPr>
              <w:t xml:space="preserve">להתייחסות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1"/>
              </w:rPr>
              <w:t xml:space="preserve">התאגיד</w:t>
            </w:r>
          </w:p>
          <w:p w:rsidR="00000000" w:rsidDel="00000000" w:rsidP="00000000" w:rsidRDefault="00000000" w:rsidRPr="00000000" w14:paraId="0000004F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סף</w:t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מגדיר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בריכות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שבנייתן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הסתיימה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במהלך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7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שקדמו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פרסום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בריכה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הינו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3,000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5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בטווח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המדובר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חברתנו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תכננה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בריכות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7,000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ושבנייתן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הסתיימה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6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אנו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לשנות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ולאפשר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הצגת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בריכות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7,000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ומעלה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כחלופה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- 3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בריכות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3,000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ומעלה</w:t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2.4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יתוקן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לעדכון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6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9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סף</w:t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2.5</w:t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מגדיר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תחנות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שאיבה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שבנייתן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הסתיימה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במהלך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7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שקדמו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פרסום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F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אנו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להרחיב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הנוסף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להכיר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bidi w:val="1"/>
              <w:spacing w:line="360" w:lineRule="auto"/>
              <w:ind w:left="1440" w:hanging="36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מכוני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שאיבה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נמצאים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בשלבי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הקמה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bidi w:val="1"/>
              <w:spacing w:line="360" w:lineRule="auto"/>
              <w:ind w:left="1440" w:hanging="36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מכוני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שאיבת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קיץ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במכוני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שאיבת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נגר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ניקוז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bidi w:val="1"/>
              <w:spacing w:line="360" w:lineRule="auto"/>
              <w:ind w:left="1440" w:hanging="36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מכוני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הגברת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לחץ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מים</w:t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64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סף</w:t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2.6</w:t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מגדיר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מאספים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שבנייתן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הסתיימה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במהלך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7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שקדמו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פרסום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2,000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ובקוטר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500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C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אנו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להרחיב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ולצורך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הניקוד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הנוסף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להכיר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סף</w:t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2.8</w:t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מגדיר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החלפה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חידוש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שדרוג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תשתיות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בשכונות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עירוניות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שבנייתן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הסתיימה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במהלך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7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שקדמו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פרסום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הנותנים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-100,000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76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אנו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להרחיב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ולהכיר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בקווים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הנמצאים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בביצוע</w:t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2.8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יתוקן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לעדכון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6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9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93</w:t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המתכנן</w:t>
            </w:r>
          </w:p>
        </w:tc>
        <w:tc>
          <w:tcPr/>
          <w:p w:rsidR="00000000" w:rsidDel="00000000" w:rsidP="00000000" w:rsidRDefault="00000000" w:rsidRPr="00000000" w14:paraId="0000007D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23.1</w:t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ומהתחייבויותיו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הסכם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7F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93</w:t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המתכנן</w:t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23.2.1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לרבות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פגיעה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נזק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לחברה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מנהליה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ועובדיה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85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87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95</w:t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המתכנן</w:t>
            </w:r>
          </w:p>
        </w:tc>
        <w:tc>
          <w:tcPr/>
          <w:p w:rsidR="00000000" w:rsidDel="00000000" w:rsidP="00000000" w:rsidRDefault="00000000" w:rsidRPr="00000000" w14:paraId="00000089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23.4.7</w:t>
            </w:r>
          </w:p>
          <w:p w:rsidR="00000000" w:rsidDel="00000000" w:rsidP="00000000" w:rsidRDefault="00000000" w:rsidRPr="00000000" w14:paraId="0000008A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מתקיימת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אחריותו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8C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8E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95</w:t>
            </w:r>
          </w:p>
        </w:tc>
        <w:tc>
          <w:tcPr/>
          <w:p w:rsidR="00000000" w:rsidDel="00000000" w:rsidP="00000000" w:rsidRDefault="00000000" w:rsidRPr="00000000" w14:paraId="0000008F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המתכנן</w:t>
            </w:r>
          </w:p>
        </w:tc>
        <w:tc>
          <w:tcPr/>
          <w:p w:rsidR="00000000" w:rsidDel="00000000" w:rsidP="00000000" w:rsidRDefault="00000000" w:rsidRPr="00000000" w14:paraId="00000090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23.6</w:t>
            </w:r>
          </w:p>
        </w:tc>
        <w:tc>
          <w:tcPr/>
          <w:p w:rsidR="00000000" w:rsidDel="00000000" w:rsidP="00000000" w:rsidRDefault="00000000" w:rsidRPr="00000000" w14:paraId="00000091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כולו</w:t>
            </w:r>
          </w:p>
        </w:tc>
        <w:tc>
          <w:tcPr/>
          <w:p w:rsidR="00000000" w:rsidDel="00000000" w:rsidP="00000000" w:rsidRDefault="00000000" w:rsidRPr="00000000" w14:paraId="00000092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94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095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המתכנן</w:t>
            </w:r>
          </w:p>
        </w:tc>
        <w:tc>
          <w:tcPr/>
          <w:p w:rsidR="00000000" w:rsidDel="00000000" w:rsidP="00000000" w:rsidRDefault="00000000" w:rsidRPr="00000000" w14:paraId="00000096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23.10</w:t>
            </w:r>
          </w:p>
        </w:tc>
        <w:tc>
          <w:tcPr/>
          <w:p w:rsidR="00000000" w:rsidDel="00000000" w:rsidP="00000000" w:rsidRDefault="00000000" w:rsidRPr="00000000" w14:paraId="00000097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לעדכן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"2,000,000 ₪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משולב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98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9A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09B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המתכנן</w:t>
            </w:r>
          </w:p>
        </w:tc>
        <w:tc>
          <w:tcPr/>
          <w:p w:rsidR="00000000" w:rsidDel="00000000" w:rsidP="00000000" w:rsidRDefault="00000000" w:rsidRPr="00000000" w14:paraId="0000009C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23.11</w:t>
            </w:r>
          </w:p>
        </w:tc>
        <w:tc>
          <w:tcPr/>
          <w:p w:rsidR="00000000" w:rsidDel="00000000" w:rsidP="00000000" w:rsidRDefault="00000000" w:rsidRPr="00000000" w14:paraId="0000009D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המילה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מינימאלית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9E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A0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0A1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המתכנן</w:t>
            </w:r>
          </w:p>
        </w:tc>
        <w:tc>
          <w:tcPr/>
          <w:p w:rsidR="00000000" w:rsidDel="00000000" w:rsidP="00000000" w:rsidRDefault="00000000" w:rsidRPr="00000000" w14:paraId="000000A2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23.14</w:t>
            </w:r>
          </w:p>
        </w:tc>
        <w:tc>
          <w:tcPr/>
          <w:p w:rsidR="00000000" w:rsidDel="00000000" w:rsidP="00000000" w:rsidRDefault="00000000" w:rsidRPr="00000000" w14:paraId="000000A3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להוסיף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לביטוח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קבלניות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שנערך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החברה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מטעמה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בשורה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שנייה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הנערך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החברה</w:t>
            </w:r>
          </w:p>
        </w:tc>
        <w:tc>
          <w:tcPr/>
          <w:p w:rsidR="00000000" w:rsidDel="00000000" w:rsidP="00000000" w:rsidRDefault="00000000" w:rsidRPr="00000000" w14:paraId="000000A4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A6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97</w:t>
            </w:r>
          </w:p>
        </w:tc>
        <w:tc>
          <w:tcPr/>
          <w:p w:rsidR="00000000" w:rsidDel="00000000" w:rsidP="00000000" w:rsidRDefault="00000000" w:rsidRPr="00000000" w14:paraId="000000A7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המתכנן</w:t>
            </w:r>
          </w:p>
        </w:tc>
        <w:tc>
          <w:tcPr/>
          <w:p w:rsidR="00000000" w:rsidDel="00000000" w:rsidP="00000000" w:rsidRDefault="00000000" w:rsidRPr="00000000" w14:paraId="000000A8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23.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u w:val="singl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המילה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בשורה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הראשונה</w:t>
            </w:r>
          </w:p>
        </w:tc>
        <w:tc>
          <w:tcPr/>
          <w:p w:rsidR="00000000" w:rsidDel="00000000" w:rsidP="00000000" w:rsidRDefault="00000000" w:rsidRPr="00000000" w14:paraId="000000AA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AC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97</w:t>
            </w:r>
          </w:p>
        </w:tc>
        <w:tc>
          <w:tcPr/>
          <w:p w:rsidR="00000000" w:rsidDel="00000000" w:rsidP="00000000" w:rsidRDefault="00000000" w:rsidRPr="00000000" w14:paraId="000000AD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המתכנן</w:t>
            </w:r>
          </w:p>
        </w:tc>
        <w:tc>
          <w:tcPr/>
          <w:p w:rsidR="00000000" w:rsidDel="00000000" w:rsidP="00000000" w:rsidRDefault="00000000" w:rsidRPr="00000000" w14:paraId="000000AE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23.19</w:t>
            </w:r>
          </w:p>
        </w:tc>
        <w:tc>
          <w:tcPr/>
          <w:p w:rsidR="00000000" w:rsidDel="00000000" w:rsidP="00000000" w:rsidRDefault="00000000" w:rsidRPr="00000000" w14:paraId="000000AF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להוסיף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בסוף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האחרונה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בכפוף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המבטחת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B2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97</w:t>
            </w:r>
          </w:p>
        </w:tc>
        <w:tc>
          <w:tcPr/>
          <w:p w:rsidR="00000000" w:rsidDel="00000000" w:rsidP="00000000" w:rsidRDefault="00000000" w:rsidRPr="00000000" w14:paraId="000000B3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המתכנן</w:t>
            </w:r>
          </w:p>
        </w:tc>
        <w:tc>
          <w:tcPr/>
          <w:p w:rsidR="00000000" w:rsidDel="00000000" w:rsidP="00000000" w:rsidRDefault="00000000" w:rsidRPr="00000000" w14:paraId="000000B4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23.20</w:t>
            </w:r>
          </w:p>
        </w:tc>
        <w:tc>
          <w:tcPr/>
          <w:p w:rsidR="00000000" w:rsidDel="00000000" w:rsidP="00000000" w:rsidRDefault="00000000" w:rsidRPr="00000000" w14:paraId="000000B5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-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שבעה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 7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מהשורה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הראשונה</w:t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B8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98</w:t>
            </w:r>
          </w:p>
        </w:tc>
        <w:tc>
          <w:tcPr/>
          <w:p w:rsidR="00000000" w:rsidDel="00000000" w:rsidP="00000000" w:rsidRDefault="00000000" w:rsidRPr="00000000" w14:paraId="000000B9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המתכנן</w:t>
            </w:r>
          </w:p>
        </w:tc>
        <w:tc>
          <w:tcPr/>
          <w:p w:rsidR="00000000" w:rsidDel="00000000" w:rsidP="00000000" w:rsidRDefault="00000000" w:rsidRPr="00000000" w14:paraId="000000BA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23.22</w:t>
            </w:r>
          </w:p>
        </w:tc>
        <w:tc>
          <w:tcPr/>
          <w:p w:rsidR="00000000" w:rsidDel="00000000" w:rsidP="00000000" w:rsidRDefault="00000000" w:rsidRPr="00000000" w14:paraId="000000BB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הסכם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BC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0BE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98</w:t>
            </w:r>
          </w:p>
        </w:tc>
        <w:tc>
          <w:tcPr/>
          <w:p w:rsidR="00000000" w:rsidDel="00000000" w:rsidP="00000000" w:rsidRDefault="00000000" w:rsidRPr="00000000" w14:paraId="000000BF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המתכנן</w:t>
            </w:r>
          </w:p>
        </w:tc>
        <w:tc>
          <w:tcPr/>
          <w:p w:rsidR="00000000" w:rsidDel="00000000" w:rsidP="00000000" w:rsidRDefault="00000000" w:rsidRPr="00000000" w14:paraId="000000C0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23.24</w:t>
            </w:r>
          </w:p>
        </w:tc>
        <w:tc>
          <w:tcPr/>
          <w:p w:rsidR="00000000" w:rsidDel="00000000" w:rsidP="00000000" w:rsidRDefault="00000000" w:rsidRPr="00000000" w14:paraId="000000C1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המילה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לבצע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C2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0C4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105</w:t>
            </w:r>
          </w:p>
        </w:tc>
        <w:tc>
          <w:tcPr/>
          <w:p w:rsidR="00000000" w:rsidDel="00000000" w:rsidP="00000000" w:rsidRDefault="00000000" w:rsidRPr="00000000" w14:paraId="000000C5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תכולת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עבודה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C7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התכולה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המוגדרת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קבלת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נתוני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תנועה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ספירות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תחזיות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)". </w:t>
            </w:r>
          </w:p>
          <w:p w:rsidR="00000000" w:rsidDel="00000000" w:rsidP="00000000" w:rsidRDefault="00000000" w:rsidRPr="00000000" w14:paraId="000000C8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תכולה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אינה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קשורה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ואנו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אותה</w:t>
            </w:r>
          </w:p>
        </w:tc>
        <w:tc>
          <w:tcPr/>
          <w:p w:rsidR="00000000" w:rsidDel="00000000" w:rsidP="00000000" w:rsidRDefault="00000000" w:rsidRPr="00000000" w14:paraId="000000C9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נתוני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תנועה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ספירות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תחזיות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רלבנטית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שיזכה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0CB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106</w:t>
            </w:r>
          </w:p>
        </w:tc>
        <w:tc>
          <w:tcPr/>
          <w:p w:rsidR="00000000" w:rsidDel="00000000" w:rsidP="00000000" w:rsidRDefault="00000000" w:rsidRPr="00000000" w14:paraId="000000CC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תכולת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עבודה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שלב</w:t>
            </w:r>
          </w:p>
        </w:tc>
        <w:tc>
          <w:tcPr/>
          <w:p w:rsidR="00000000" w:rsidDel="00000000" w:rsidP="00000000" w:rsidRDefault="00000000" w:rsidRPr="00000000" w14:paraId="000000CD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CE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התכולה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המוגדרת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הכנת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סקר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סיכונים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</w:p>
          <w:p w:rsidR="00000000" w:rsidDel="00000000" w:rsidP="00000000" w:rsidRDefault="00000000" w:rsidRPr="00000000" w14:paraId="000000CF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תכולה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אינה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קשורה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ואנו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אותה</w:t>
            </w:r>
          </w:p>
        </w:tc>
        <w:tc>
          <w:tcPr/>
          <w:p w:rsidR="00000000" w:rsidDel="00000000" w:rsidP="00000000" w:rsidRDefault="00000000" w:rsidRPr="00000000" w14:paraId="000000D0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הכנת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סקר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סיכונים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רלבנטי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שיזכה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לו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0D2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113</w:t>
            </w:r>
          </w:p>
        </w:tc>
        <w:tc>
          <w:tcPr/>
          <w:p w:rsidR="00000000" w:rsidDel="00000000" w:rsidP="00000000" w:rsidRDefault="00000000" w:rsidRPr="00000000" w14:paraId="000000D3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(2)- </w:t>
            </w:r>
          </w:p>
          <w:p w:rsidR="00000000" w:rsidDel="00000000" w:rsidP="00000000" w:rsidRDefault="00000000" w:rsidRPr="00000000" w14:paraId="000000D4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- </w:t>
            </w:r>
          </w:p>
        </w:tc>
        <w:tc>
          <w:tcPr/>
          <w:p w:rsidR="00000000" w:rsidDel="00000000" w:rsidP="00000000" w:rsidRDefault="00000000" w:rsidRPr="00000000" w14:paraId="000000D5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צד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D6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שצד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בגבול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1,000,000 ₪</w:t>
            </w:r>
          </w:p>
        </w:tc>
        <w:tc>
          <w:tcPr/>
          <w:p w:rsidR="00000000" w:rsidDel="00000000" w:rsidP="00000000" w:rsidRDefault="00000000" w:rsidRPr="00000000" w14:paraId="000000D7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0D9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113</w:t>
            </w:r>
          </w:p>
        </w:tc>
        <w:tc>
          <w:tcPr/>
          <w:p w:rsidR="00000000" w:rsidDel="00000000" w:rsidP="00000000" w:rsidRDefault="00000000" w:rsidRPr="00000000" w14:paraId="000000DA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(2)- </w:t>
            </w:r>
          </w:p>
          <w:p w:rsidR="00000000" w:rsidDel="00000000" w:rsidP="00000000" w:rsidRDefault="00000000" w:rsidRPr="00000000" w14:paraId="000000DB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</w:t>
            </w:r>
          </w:p>
        </w:tc>
        <w:tc>
          <w:tcPr/>
          <w:p w:rsidR="00000000" w:rsidDel="00000000" w:rsidP="00000000" w:rsidRDefault="00000000" w:rsidRPr="00000000" w14:paraId="000000DC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מקצועית</w:t>
            </w:r>
          </w:p>
        </w:tc>
        <w:tc>
          <w:tcPr/>
          <w:p w:rsidR="00000000" w:rsidDel="00000000" w:rsidP="00000000" w:rsidRDefault="00000000" w:rsidRPr="00000000" w14:paraId="000000DD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גבול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האחריות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בביטוח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מקצועית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יעמוד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1,000,000 ₪. </w:t>
            </w:r>
          </w:p>
          <w:p w:rsidR="00000000" w:rsidDel="00000000" w:rsidP="00000000" w:rsidRDefault="00000000" w:rsidRPr="00000000" w14:paraId="000000DE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326</w:t>
            </w:r>
          </w:p>
        </w:tc>
        <w:tc>
          <w:tcPr/>
          <w:p w:rsidR="00000000" w:rsidDel="00000000" w:rsidP="00000000" w:rsidRDefault="00000000" w:rsidRPr="00000000" w14:paraId="000000DF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27.</w:t>
            </w:r>
          </w:p>
        </w:tc>
        <w:tc>
          <w:tcPr/>
          <w:p w:rsidR="00000000" w:rsidDel="00000000" w:rsidP="00000000" w:rsidRDefault="00000000" w:rsidRPr="00000000" w14:paraId="000000E1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E2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</w:p>
        </w:tc>
        <w:tc>
          <w:tcPr/>
          <w:p w:rsidR="00000000" w:rsidDel="00000000" w:rsidP="00000000" w:rsidRDefault="00000000" w:rsidRPr="00000000" w14:paraId="000000E3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0E4">
            <w:pPr>
              <w:numPr>
                <w:ilvl w:val="0"/>
                <w:numId w:val="3"/>
              </w:numPr>
              <w:bidi w:val="1"/>
              <w:spacing w:line="360" w:lineRule="auto"/>
              <w:ind w:left="1440" w:hanging="36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במדינת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ישראל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משלב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סטטוטורי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לביצוע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סופי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בריכת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יכול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להגיע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האיכות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להכיר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בבריכות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נמצאות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בתהליך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ובנייתן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עדיין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הושלמה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0E5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2.4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יתוקן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לעדכון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6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E6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9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28.</w:t>
            </w:r>
          </w:p>
        </w:tc>
        <w:tc>
          <w:tcPr/>
          <w:p w:rsidR="00000000" w:rsidDel="00000000" w:rsidP="00000000" w:rsidRDefault="00000000" w:rsidRPr="00000000" w14:paraId="000000E8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E9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</w:p>
        </w:tc>
        <w:tc>
          <w:tcPr/>
          <w:p w:rsidR="00000000" w:rsidDel="00000000" w:rsidP="00000000" w:rsidRDefault="00000000" w:rsidRPr="00000000" w14:paraId="000000EA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0EB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להכיר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בבריכה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10,000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כשוות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לשלוש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בריכות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3,000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</w:t>
            </w:r>
          </w:p>
        </w:tc>
        <w:tc>
          <w:tcPr/>
          <w:p w:rsidR="00000000" w:rsidDel="00000000" w:rsidP="00000000" w:rsidRDefault="00000000" w:rsidRPr="00000000" w14:paraId="000000EC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2.4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יתוקן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לעדכון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6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29.</w:t>
            </w:r>
          </w:p>
        </w:tc>
        <w:tc>
          <w:tcPr/>
          <w:p w:rsidR="00000000" w:rsidDel="00000000" w:rsidP="00000000" w:rsidRDefault="00000000" w:rsidRPr="00000000" w14:paraId="000000EE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EF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</w:p>
        </w:tc>
        <w:tc>
          <w:tcPr/>
          <w:p w:rsidR="00000000" w:rsidDel="00000000" w:rsidP="00000000" w:rsidRDefault="00000000" w:rsidRPr="00000000" w14:paraId="000000F0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2.5</w:t>
            </w:r>
          </w:p>
        </w:tc>
        <w:tc>
          <w:tcPr/>
          <w:p w:rsidR="00000000" w:rsidDel="00000000" w:rsidP="00000000" w:rsidRDefault="00000000" w:rsidRPr="00000000" w14:paraId="000000F1">
            <w:pPr>
              <w:numPr>
                <w:ilvl w:val="0"/>
                <w:numId w:val="4"/>
              </w:numPr>
              <w:bidi w:val="1"/>
              <w:spacing w:line="360" w:lineRule="auto"/>
              <w:ind w:left="1440" w:hanging="36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במדינת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ישראל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משלב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סטטוטורי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לביצוע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תחנת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שאיבה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יכול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להכיר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בתחנות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שאיבה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נמצאות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ובנייתן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הושלמה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0F2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F3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30.</w:t>
            </w:r>
          </w:p>
        </w:tc>
        <w:tc>
          <w:tcPr/>
          <w:p w:rsidR="00000000" w:rsidDel="00000000" w:rsidP="00000000" w:rsidRDefault="00000000" w:rsidRPr="00000000" w14:paraId="000000F5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F6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</w:p>
        </w:tc>
        <w:tc>
          <w:tcPr/>
          <w:p w:rsidR="00000000" w:rsidDel="00000000" w:rsidP="00000000" w:rsidRDefault="00000000" w:rsidRPr="00000000" w14:paraId="000000F7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2.8</w:t>
            </w:r>
          </w:p>
        </w:tc>
        <w:tc>
          <w:tcPr/>
          <w:p w:rsidR="00000000" w:rsidDel="00000000" w:rsidP="00000000" w:rsidRDefault="00000000" w:rsidRPr="00000000" w14:paraId="000000F8">
            <w:pPr>
              <w:numPr>
                <w:ilvl w:val="0"/>
                <w:numId w:val="5"/>
              </w:numPr>
              <w:bidi w:val="1"/>
              <w:spacing w:line="360" w:lineRule="auto"/>
              <w:ind w:left="1440" w:hanging="36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במדינת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ישראל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תהליך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ליווי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מתחם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פינוי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בינוי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15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האיכות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להכיר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בפרויקטים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שתהליך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בנייתם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עדיין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הושלם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F9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2.8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יתוקן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לעדכון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6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31.</w:t>
            </w:r>
          </w:p>
        </w:tc>
        <w:tc>
          <w:tcPr/>
          <w:p w:rsidR="00000000" w:rsidDel="00000000" w:rsidP="00000000" w:rsidRDefault="00000000" w:rsidRPr="00000000" w14:paraId="000000FB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0FC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8</w:t>
            </w:r>
          </w:p>
        </w:tc>
        <w:tc>
          <w:tcPr/>
          <w:p w:rsidR="00000000" w:rsidDel="00000000" w:rsidP="00000000" w:rsidRDefault="00000000" w:rsidRPr="00000000" w14:paraId="000000FD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טבלה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1440" w:right="0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במדינת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ישראל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תוכנית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אב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למים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יכולה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להגיע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שגם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תוכנית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הנמצאת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בתהליך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אך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ללא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סופי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תוכר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איכות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FF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</w:p>
          <w:p w:rsidR="00000000" w:rsidDel="00000000" w:rsidP="00000000" w:rsidRDefault="00000000" w:rsidRPr="00000000" w14:paraId="00000100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32.</w:t>
            </w:r>
          </w:p>
        </w:tc>
        <w:tc>
          <w:tcPr/>
          <w:p w:rsidR="00000000" w:rsidDel="00000000" w:rsidP="00000000" w:rsidRDefault="00000000" w:rsidRPr="00000000" w14:paraId="00000102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סף</w:t>
            </w:r>
          </w:p>
        </w:tc>
        <w:tc>
          <w:tcPr/>
          <w:p w:rsidR="00000000" w:rsidDel="00000000" w:rsidP="00000000" w:rsidRDefault="00000000" w:rsidRPr="00000000" w14:paraId="00000104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105">
            <w:pPr>
              <w:bidi w:val="1"/>
              <w:spacing w:line="360" w:lineRule="auto"/>
              <w:ind w:left="1674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במהלך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7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שקדמו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הפרסום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בריכת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3,000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ומעלה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שבנייתה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הסתיימה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ועוד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בריכות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שתכנונן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הסתיים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והן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מוכנות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06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2.4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יתוקן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לעדכון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6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33.</w:t>
            </w:r>
          </w:p>
        </w:tc>
        <w:tc>
          <w:tcPr/>
          <w:p w:rsidR="00000000" w:rsidDel="00000000" w:rsidP="00000000" w:rsidRDefault="00000000" w:rsidRPr="00000000" w14:paraId="00000108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סף</w:t>
            </w:r>
          </w:p>
        </w:tc>
        <w:tc>
          <w:tcPr/>
          <w:p w:rsidR="00000000" w:rsidDel="00000000" w:rsidP="00000000" w:rsidRDefault="00000000" w:rsidRPr="00000000" w14:paraId="0000010A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2.6</w:t>
            </w:r>
          </w:p>
        </w:tc>
        <w:tc>
          <w:tcPr/>
          <w:p w:rsidR="00000000" w:rsidDel="00000000" w:rsidP="00000000" w:rsidRDefault="00000000" w:rsidRPr="00000000" w14:paraId="0000010B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במהלך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7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הפרסום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מאספים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שניים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שבנייתם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הסתיימה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בקוטר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500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ובאורך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בסה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0C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D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0F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סף</w:t>
            </w:r>
          </w:p>
        </w:tc>
        <w:tc>
          <w:tcPr/>
          <w:p w:rsidR="00000000" w:rsidDel="00000000" w:rsidP="00000000" w:rsidRDefault="00000000" w:rsidRPr="00000000" w14:paraId="00000111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2.9</w:t>
            </w:r>
          </w:p>
        </w:tc>
        <w:tc>
          <w:tcPr/>
          <w:p w:rsidR="00000000" w:rsidDel="00000000" w:rsidP="00000000" w:rsidRDefault="00000000" w:rsidRPr="00000000" w14:paraId="00000112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במהלך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שקדמו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פרסום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תשתיות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-3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שכונות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חדשות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היקף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היחידות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הנבנות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מהשכונות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עולה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1,000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יחידות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דיור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13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4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16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סף</w:t>
            </w:r>
          </w:p>
        </w:tc>
        <w:tc>
          <w:tcPr/>
          <w:p w:rsidR="00000000" w:rsidDel="00000000" w:rsidP="00000000" w:rsidRDefault="00000000" w:rsidRPr="00000000" w14:paraId="00000118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2.3-2.7</w:t>
            </w:r>
          </w:p>
        </w:tc>
        <w:tc>
          <w:tcPr/>
          <w:p w:rsidR="00000000" w:rsidDel="00000000" w:rsidP="00000000" w:rsidRDefault="00000000" w:rsidRPr="00000000" w14:paraId="00000119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הכותרת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להשתתפות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המהווה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בלתו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להגיש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הצעה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נקבעו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עלולים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לעלות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כדי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מקפחים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ומפלים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שכן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להוביל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לצמצום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המציעים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הפוטנציאלים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ובתוך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לצמצום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התחרות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שמדיר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הצדקה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רגליהם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מתכננים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רבים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המסוגלים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ואף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מעוניינים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לעבוד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ולספק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מקצועיים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ואיכותיים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ברמה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הגבוה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ביותר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שיפורט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להלן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סעיפים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2.3-2.7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נקבע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דרישה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מהמציע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עליו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להציג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תכנונים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בריכות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תחנות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שאיבה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מאסף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וקווי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וסניקה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בנייתם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הסתיימה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אולם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מלאכת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איכותה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ומקצועיותה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בהכרח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קשורה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לשאלה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הבנייה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הסתיימה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כלומר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ייתכן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מתכנן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ביצע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הנדרשות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העובדה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תהליך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הבנייה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לוקח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זמן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שכן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לקבל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אישורים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לתחילת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הבנייה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הבנייה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טרם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הסתיימה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בבחינת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וחומר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דרישתכם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למספר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פרויקטים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בנייתם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הסתיימה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בנסיבות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ישנם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מתכננים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רבים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עשו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מלאכתם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נאמנה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ובמקצועיות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גבוהה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קשורים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בניית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טרם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הסתיימה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לחלופין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תקועה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מסיבה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כזו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והם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נדרשים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להדיר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רגליהם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מלגשת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המניח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הדעת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בנוסף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לכך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קיימים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מתכננים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חלק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מעבודות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הנדרשות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הסתיימו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בבנייה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וכן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ביצעו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נוספות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במספר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הפרויקטים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נדרשו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ידכם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שבנייתם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הסתיימה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. 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ברי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בנסיבות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משמעות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יוצר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יתרון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בלתי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מידתי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ובלתי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מתקבל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הדעת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לציבור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מסוים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יתרון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אינו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סביר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שאינו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משקף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עקרונות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היסוד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דיני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הנדרשים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למזמינים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כדוגמתכם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לכך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כלל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עומד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בהלימה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לעבודות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הנדרשות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להיקף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העבודות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המתואר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1A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2.4, 2.8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- 2.10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יתוקנו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לעדכון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6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B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bidi w:val="1"/>
              <w:spacing w:line="360" w:lineRule="auto"/>
              <w:ind w:left="52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1D">
            <w:pPr>
              <w:bidi w:val="1"/>
              <w:spacing w:line="360" w:lineRule="auto"/>
              <w:ind w:left="63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bidi w:val="1"/>
              <w:spacing w:line="360" w:lineRule="auto"/>
              <w:ind w:left="69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סף</w:t>
            </w:r>
          </w:p>
        </w:tc>
        <w:tc>
          <w:tcPr/>
          <w:p w:rsidR="00000000" w:rsidDel="00000000" w:rsidP="00000000" w:rsidRDefault="00000000" w:rsidRPr="00000000" w14:paraId="0000011F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0"/>
              </w:rPr>
              <w:t xml:space="preserve">2.10</w:t>
            </w:r>
          </w:p>
        </w:tc>
        <w:tc>
          <w:tcPr/>
          <w:p w:rsidR="00000000" w:rsidDel="00000000" w:rsidP="00000000" w:rsidRDefault="00000000" w:rsidRPr="00000000" w14:paraId="00000120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2.10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נקבע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להעסיק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עשרה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)10(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מהנדסים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חמישה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)5(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מהם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הינם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בעלי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7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מערכות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ולפחות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)1(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מהם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הינו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25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מערכות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.9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ברור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ונהיר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מהווה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מקפח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מצמצם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משמעותי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המציעים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הפוטנציאלים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שבנדון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יובהר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סביר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2.10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יוצר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'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סנן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מבטיח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יינתן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איכותי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ומטיבי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ברור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מדוע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חברות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המעסיקות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במישרין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בעקיפים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מהנדסים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יתנו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טוב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יותר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מאלה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המעסיקות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מועט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יותר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מהנדסים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הדברים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האמורים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לעניין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הנדרש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למהנדסים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מועסקים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ודוק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דרישה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מתוך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אותם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מהנדסים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יהיו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5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מהנדסים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7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ומהנדס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25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פחות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מערכות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מהווה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בלתי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סביר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וקשיח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מצמצם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יותר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לצמצום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כאמור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המציעים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הארגון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סבור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מדובר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בדרישה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מופרזת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בלתי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סבירה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בעייתית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מאוד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פוגעת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קשות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בתחרות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נפקות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לכמות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נקבעה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ביצוע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נושא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המונע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היכולת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ממציעים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איכותיים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להגיש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הצעה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מגדל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הרצוג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רחוב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יצחק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,6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אביב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6777506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טל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': 2020 ,03-692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פקס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: 6464 03-696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il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co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herzoglaw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www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3 .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בהתחשב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במהות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המתוארת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בבחינת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צורך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להקמת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מאגר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משרדי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אליהם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יפנה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לעת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הקריטריון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2.10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יוצר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קשה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ביותר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מביא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לצמצום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בכמות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המציעים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הפוטנציאלים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וזאת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כאמור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הותרת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הקשיחים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והבלתי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סבירים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מהווים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פגיעה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חמורה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ובלתי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מידתית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בחופש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העיסוק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יובהר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כלל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ידוע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להשיג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מטרה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קביעת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שהגבלתו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חופש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העיסוק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קטנה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יותר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מהמגבלה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שיוצר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הקבוע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חובה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להעדיף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הארגון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ישונה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וירוכך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שיתאפשר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למשרדים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מעסיקים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מהנדסים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יחד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הנדרשים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למהנדסים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(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להתקשר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ולמלא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שיאפשר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ליותר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מציעים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פוטנציאליים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להגיש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הצעותיהם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יגשים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אגב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תכלית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דיני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ויביא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אפוא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למקסום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האינטרס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הציבורי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( 2448/07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רפיד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עיריית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פתח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תקווה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פורסם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בנבו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3.8.2008( 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להלן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: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עניין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עיריית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פתח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תקווה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"(,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וכן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326/98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כלל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מחשבים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ומערכות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התעופה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ואח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פורסם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((. .15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ודוק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דבריה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כבוד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השופטת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אגמון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גונן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מעניין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עיריית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פתח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תקווה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: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שנקבע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בפסיקה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וצוטט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אצל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הרציג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דיני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מכרזים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מהדורה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שנייה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:160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המגביל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ההשתתפות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לוקה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בחוסר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סבירות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מטרת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לקבל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ראויות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האפשר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וכך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להשיג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ההצעה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הטובה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ביותר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נועדו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לסנן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סינון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ראשוני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ההצעות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ולהרחיק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מציעים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ראויים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והצעות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ראויות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"." .16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לסיכום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לשנות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האמורים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יגשים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הדין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יפגע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בלתי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מידתי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בחופש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העיסוק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יעמוד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בהלימה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להיקף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העבודות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המתארות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להיכלל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במאגר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יצמצם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התחרות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שרירותי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21">
            <w:pPr>
              <w:bidi w:val="1"/>
              <w:spacing w:after="24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2.10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יתוקן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לעדכון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6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2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827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827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בטבלת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והמענה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מודיעה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שבנדן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87" w:right="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שמופיע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2.4.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ובמקומו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יבוא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2.4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440" w:right="0" w:firstLine="0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"2.4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בריכות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שבנייתן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הסתיימה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נפח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בריכה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בנפח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3,000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קוב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."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87" w:right="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שמופיע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2.8.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ובמקומו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יבוא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2.8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62" w:right="0" w:hanging="621.9999999999999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"2.8</w:t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שהסתיימו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להחלפה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חידוש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בשכונות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עירוניות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הנותנים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- 80,000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למפורט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הלשכה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המרכזית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לסטטיסטיקה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סגירת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"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87" w:right="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שמופיע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2.10.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00" w:line="360" w:lineRule="auto"/>
        <w:ind w:left="827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ממסמכי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והמציעים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מתבקשים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העתק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להצעתם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87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87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_________________________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________________________           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_________________________</w:t>
      </w:r>
    </w:p>
    <w:sectPr>
      <w:headerReference r:id="rId7" w:type="default"/>
      <w:pgSz w:h="11906" w:w="16838" w:orient="landscape"/>
      <w:pgMar w:bottom="1133" w:top="127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7" w:hanging="360"/>
      </w:pPr>
      <w:rPr/>
    </w:lvl>
    <w:lvl w:ilvl="1">
      <w:start w:val="1"/>
      <w:numFmt w:val="decimal"/>
      <w:lvlText w:val="%1.%2."/>
      <w:lvlJc w:val="left"/>
      <w:pPr>
        <w:ind w:left="467" w:hanging="360"/>
      </w:pPr>
      <w:rPr>
        <w:b w:val="1"/>
      </w:rPr>
    </w:lvl>
    <w:lvl w:ilvl="2">
      <w:start w:val="1"/>
      <w:numFmt w:val="decimal"/>
      <w:lvlText w:val="%1.%2.%3."/>
      <w:lvlJc w:val="left"/>
      <w:pPr>
        <w:ind w:left="1187" w:hanging="720"/>
      </w:pPr>
      <w:rPr/>
    </w:lvl>
    <w:lvl w:ilvl="3">
      <w:start w:val="1"/>
      <w:numFmt w:val="decimal"/>
      <w:lvlText w:val="%1.%2.%3.%4."/>
      <w:lvlJc w:val="left"/>
      <w:pPr>
        <w:ind w:left="1547" w:hanging="720.0000000000001"/>
      </w:pPr>
      <w:rPr/>
    </w:lvl>
    <w:lvl w:ilvl="4">
      <w:start w:val="1"/>
      <w:numFmt w:val="decimal"/>
      <w:lvlText w:val="%1.%2.%3.%4.%5."/>
      <w:lvlJc w:val="left"/>
      <w:pPr>
        <w:ind w:left="2267" w:hanging="1080"/>
      </w:pPr>
      <w:rPr/>
    </w:lvl>
    <w:lvl w:ilvl="5">
      <w:start w:val="1"/>
      <w:numFmt w:val="decimal"/>
      <w:lvlText w:val="%1.%2.%3.%4.%5.%6."/>
      <w:lvlJc w:val="left"/>
      <w:pPr>
        <w:ind w:left="2627" w:hanging="1080"/>
      </w:pPr>
      <w:rPr/>
    </w:lvl>
    <w:lvl w:ilvl="6">
      <w:start w:val="1"/>
      <w:numFmt w:val="decimal"/>
      <w:lvlText w:val="%1.%2.%3.%4.%5.%6.%7."/>
      <w:lvlJc w:val="left"/>
      <w:pPr>
        <w:ind w:left="3347" w:hanging="1440"/>
      </w:pPr>
      <w:rPr/>
    </w:lvl>
    <w:lvl w:ilvl="7">
      <w:start w:val="1"/>
      <w:numFmt w:val="decimal"/>
      <w:lvlText w:val="%1.%2.%3.%4.%5.%6.%7.%8."/>
      <w:lvlJc w:val="left"/>
      <w:pPr>
        <w:ind w:left="3707" w:hanging="1440"/>
      </w:pPr>
      <w:rPr/>
    </w:lvl>
    <w:lvl w:ilvl="8">
      <w:start w:val="1"/>
      <w:numFmt w:val="decimal"/>
      <w:lvlText w:val="%1.%2.%3.%4.%5.%6.%7.%8.%9."/>
      <w:lvlJc w:val="left"/>
      <w:pPr>
        <w:ind w:left="4427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A33209"/>
    <w:pPr>
      <w:bidi w:val="1"/>
    </w:pPr>
    <w:rPr>
      <w:kern w:val="0"/>
    </w:rPr>
  </w:style>
  <w:style w:type="paragraph" w:styleId="1">
    <w:name w:val="heading 1"/>
    <w:basedOn w:val="a"/>
    <w:next w:val="a"/>
    <w:link w:val="10"/>
    <w:uiPriority w:val="9"/>
    <w:qFormat w:val="1"/>
    <w:rsid w:val="00E72E8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E72E8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E72E89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E72E8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E72E89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E72E8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E72E8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E72E8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E72E8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E72E89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E72E8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E72E89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E72E89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E72E89"/>
    <w:rPr>
      <w:rFonts w:cstheme="majorBidi" w:eastAsiaTheme="majorEastAsia"/>
      <w:color w:val="2f5496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E72E89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E72E89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E72E89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E72E89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E72E8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E72E8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E72E8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E72E8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E72E8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E72E89"/>
    <w:rPr>
      <w:i w:val="1"/>
      <w:iCs w:val="1"/>
      <w:color w:val="404040" w:themeColor="text1" w:themeTint="0000BF"/>
    </w:rPr>
  </w:style>
  <w:style w:type="paragraph" w:styleId="a9">
    <w:name w:val="List Paragraph"/>
    <w:aliases w:val="מפרט פירוט סעיפים,LP1,פיסקת bullets,נספח 2 מתוקן,רמה 2,x.x.x.x,List Paragraph_0,List Paragraph_1,lp1,FooterText,numbered,Paragraphe de liste1,פיסקת רשימה11,List Paragraph1,פסקה סעיף 1,Bullet List,מכרזים - טקסט סעיפים,ד-סעיףמודגשממוספר,Table"/>
    <w:basedOn w:val="a"/>
    <w:link w:val="aa"/>
    <w:uiPriority w:val="34"/>
    <w:qFormat w:val="1"/>
    <w:rsid w:val="00E72E89"/>
    <w:pPr>
      <w:ind w:left="720"/>
      <w:contextualSpacing w:val="1"/>
    </w:pPr>
  </w:style>
  <w:style w:type="character" w:styleId="ab">
    <w:name w:val="Intense Emphasis"/>
    <w:basedOn w:val="a0"/>
    <w:uiPriority w:val="21"/>
    <w:qFormat w:val="1"/>
    <w:rsid w:val="00E72E89"/>
    <w:rPr>
      <w:i w:val="1"/>
      <w:iCs w:val="1"/>
      <w:color w:val="2f5496" w:themeColor="accent1" w:themeShade="0000BF"/>
    </w:rPr>
  </w:style>
  <w:style w:type="paragraph" w:styleId="ac">
    <w:name w:val="Intense Quote"/>
    <w:basedOn w:val="a"/>
    <w:next w:val="a"/>
    <w:link w:val="ad"/>
    <w:uiPriority w:val="30"/>
    <w:qFormat w:val="1"/>
    <w:rsid w:val="00E72E89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d" w:customStyle="1">
    <w:name w:val="ציטוט חזק תו"/>
    <w:basedOn w:val="a0"/>
    <w:link w:val="ac"/>
    <w:uiPriority w:val="30"/>
    <w:rsid w:val="00E72E89"/>
    <w:rPr>
      <w:i w:val="1"/>
      <w:iCs w:val="1"/>
      <w:color w:val="2f5496" w:themeColor="accent1" w:themeShade="0000BF"/>
    </w:rPr>
  </w:style>
  <w:style w:type="character" w:styleId="ae">
    <w:name w:val="Intense Reference"/>
    <w:basedOn w:val="a0"/>
    <w:uiPriority w:val="32"/>
    <w:qFormat w:val="1"/>
    <w:rsid w:val="00E72E89"/>
    <w:rPr>
      <w:b w:val="1"/>
      <w:bCs w:val="1"/>
      <w:smallCaps w:val="1"/>
      <w:color w:val="2f5496" w:themeColor="accent1" w:themeShade="0000BF"/>
      <w:spacing w:val="5"/>
    </w:rPr>
  </w:style>
  <w:style w:type="paragraph" w:styleId="af">
    <w:name w:val="header"/>
    <w:basedOn w:val="a"/>
    <w:link w:val="af0"/>
    <w:uiPriority w:val="99"/>
    <w:unhideWhenUsed w:val="1"/>
    <w:rsid w:val="00E72E89"/>
    <w:pPr>
      <w:tabs>
        <w:tab w:val="center" w:pos="4153"/>
        <w:tab w:val="right" w:pos="8306"/>
      </w:tabs>
      <w:spacing w:after="0" w:line="240" w:lineRule="auto"/>
    </w:pPr>
  </w:style>
  <w:style w:type="character" w:styleId="af0" w:customStyle="1">
    <w:name w:val="כותרת עליונה תו"/>
    <w:basedOn w:val="a0"/>
    <w:link w:val="af"/>
    <w:uiPriority w:val="99"/>
    <w:rsid w:val="00E72E89"/>
    <w:rPr>
      <w:kern w:val="0"/>
    </w:rPr>
  </w:style>
  <w:style w:type="table" w:styleId="af1">
    <w:name w:val="Table Grid"/>
    <w:basedOn w:val="a1"/>
    <w:rsid w:val="008B7D14"/>
    <w:pPr>
      <w:spacing w:after="0" w:line="240" w:lineRule="auto"/>
    </w:pPr>
    <w:rPr>
      <w:kern w:val="0"/>
      <w:lang w:bidi="ar-SA" w:val="he-IL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aa" w:customStyle="1">
    <w:name w:val="פיסקת רשימה תו"/>
    <w:aliases w:val="מפרט פירוט סעיפים תו,LP1 תו,פיסקת bullets תו,נספח 2 מתוקן תו,רמה 2 תו,x.x.x.x תו,List Paragraph_0 תו,List Paragraph_1 תו,lp1 תו,FooterText תו,numbered תו,Paragraphe de liste1 תו,פיסקת רשימה11 תו,List Paragraph1 תו,פסקה סעיף 1 תו,Table תו"/>
    <w:link w:val="a9"/>
    <w:uiPriority w:val="34"/>
    <w:locked w:val="1"/>
    <w:rsid w:val="008B7D14"/>
    <w:rPr>
      <w:kern w:val="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UmM+e2YAf/kqk50+4RwQbQoWBA==">CgMxLjAyCWguMzBqMHpsbDgAciExSHhGUktrUkRTdFhmN2sxNGE4RTZUZjEwdzJEc2xuVU4=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2024-09-08T11:04:00Z</dcterms:created>
  <dc:creator>almogy</dc:creator>
</cp:coreProperties>
</file>