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18-5-2025</w:t>
      </w:r>
    </w:p>
    <w:p w:rsidR="00000000" w:rsidDel="00000000" w:rsidP="00000000" w:rsidRDefault="00000000" w:rsidRPr="00000000" w14:paraId="00000003">
      <w:pPr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לשאלות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1 </w:t>
      </w:r>
    </w:p>
    <w:p w:rsidR="00000000" w:rsidDel="00000000" w:rsidP="00000000" w:rsidRDefault="00000000" w:rsidRPr="00000000" w14:paraId="00000004">
      <w:pPr>
        <w:bidi w:val="1"/>
        <w:spacing w:after="0" w:line="360" w:lineRule="auto"/>
        <w:ind w:left="360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8-2025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הרחבת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</w:p>
    <w:p w:rsidR="00000000" w:rsidDel="00000000" w:rsidP="00000000" w:rsidRDefault="00000000" w:rsidRPr="00000000" w14:paraId="00000005">
      <w:pPr>
        <w:bidi w:val="1"/>
        <w:spacing w:after="0" w:line="360" w:lineRule="auto"/>
        <w:ind w:left="360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כללי</w:t>
      </w:r>
    </w:p>
    <w:p w:rsidR="00000000" w:rsidDel="00000000" w:rsidP="00000000" w:rsidRDefault="00000000" w:rsidRPr="00000000" w14:paraId="00000006">
      <w:pPr>
        <w:bidi w:val="1"/>
        <w:spacing w:after="0" w:line="360" w:lineRule="auto"/>
        <w:ind w:left="360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מסכמת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נכללו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מלכתחילה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להסתמך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היחידים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הפירושים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ובמכתבי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שיצאו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שיצאו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bidi w:val="1"/>
        <w:spacing w:after="0"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והסכם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מובא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לידיעת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ולערוך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מידול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בתלת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מימד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המתוכננים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מידול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התהליך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לטיפול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בשפכים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תוכנת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0" w:line="360" w:lineRule="auto"/>
        <w:ind w:left="360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bidi w:val="1"/>
        <w:spacing w:after="0"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טבלת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והשינויים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בעקבות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696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8"/>
        <w:gridCol w:w="783"/>
        <w:gridCol w:w="1158"/>
        <w:gridCol w:w="1478"/>
        <w:gridCol w:w="4891"/>
        <w:gridCol w:w="5659"/>
        <w:tblGridChange w:id="0">
          <w:tblGrid>
            <w:gridCol w:w="728"/>
            <w:gridCol w:w="783"/>
            <w:gridCol w:w="1158"/>
            <w:gridCol w:w="1478"/>
            <w:gridCol w:w="4891"/>
            <w:gridCol w:w="5659"/>
          </w:tblGrid>
        </w:tblGridChange>
      </w:tblGrid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</w:t>
            </w:r>
          </w:p>
        </w:tc>
        <w:tc>
          <w:tcPr/>
          <w:p w:rsidR="00000000" w:rsidDel="00000000" w:rsidP="00000000" w:rsidRDefault="00000000" w:rsidRPr="00000000" w14:paraId="0000001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מסמך</w:t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סעיף</w:t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מבוקשת</w:t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תשובה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לדחות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ההגשה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ליום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26.5.2025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לפחות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A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המועד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האחרון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להגשת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הצעות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יידחה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שניתן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יהיה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להגיש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הצעות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ליום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26/5/2025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בשעה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12:00</w:t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2.4.4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בסוגריים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להציג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תעודת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סיום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פרויקט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2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להסתפק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בחשבון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סופי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22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לתשומת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יהיו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להציג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חשבון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סופי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ומאושר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 </w:t>
            </w:r>
          </w:p>
          <w:p w:rsidR="00000000" w:rsidDel="00000000" w:rsidP="00000000" w:rsidRDefault="00000000" w:rsidRPr="00000000" w14:paraId="00000024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5,13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1.11</w:t>
            </w:r>
          </w:p>
          <w:p w:rsidR="00000000" w:rsidDel="00000000" w:rsidP="00000000" w:rsidRDefault="00000000" w:rsidRPr="00000000" w14:paraId="0000002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4.6.3</w:t>
            </w:r>
          </w:p>
          <w:p w:rsidR="00000000" w:rsidDel="00000000" w:rsidP="00000000" w:rsidRDefault="00000000" w:rsidRPr="00000000" w14:paraId="0000002A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1.11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צוות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צריך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לכלול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מהנדס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תהליך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מהנדס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אזרחי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אדריכל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אדריכל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נוף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אדריכל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להכנת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ובדיקות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מעבדה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מהנדס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קונסטרוקציה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יועץ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קרקע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לרבות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קידוחים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ודוחות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מעבדה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מהנדס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חשמל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בקרה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יועץ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אוורור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יועץ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אקוסטיקה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יועץ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בטיחות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ונגישות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יועץ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סביבה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לרבות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הכנת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סקרי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השפעה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הסביבה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שיידרש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לצורך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קבלת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היתר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מודד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וכן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יועץ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נוסף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שיידרש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לצורך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השלמת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וקבלת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האישורים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וההיתרים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הנדרשים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4.6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הצעת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המחיר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מבוססת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הנחה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תעריף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מסמך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מאוקטובר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2018,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1.1.2 </w:t>
            </w:r>
          </w:p>
          <w:p w:rsidR="00000000" w:rsidDel="00000000" w:rsidP="00000000" w:rsidRDefault="00000000" w:rsidRPr="00000000" w14:paraId="0000003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שכר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תהליכי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קונסטרוקציה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</w:p>
          <w:p w:rsidR="00000000" w:rsidDel="00000000" w:rsidP="00000000" w:rsidRDefault="00000000" w:rsidRPr="00000000" w14:paraId="0000003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פיתוח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וחשמל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1.1.3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התעריפים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היועצים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הנדרשים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למתכנן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לצורך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ביצוע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כדוגמת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יועצי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קרקע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מודדים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יועצים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כלכליים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יועצים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הידרולוגיים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יועצי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בטיחות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יועץ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תנועה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אדריכל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אדריכל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נוף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ועוד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1.1.4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במידה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שהיועצים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הנוספים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יועסקו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המתכנן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יוחזרו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למתכנן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שכר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היועצים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תוספת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בשיעור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5%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משכר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היועצים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המאושר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בגין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ניהול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טיפול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בחשבונות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ומימון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ביניים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הבהרתכם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התשלום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בגין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יועצים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יהיה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למסמך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רשות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המים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מאוקטובר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2018.</w:t>
            </w:r>
          </w:p>
          <w:p w:rsidR="00000000" w:rsidDel="00000000" w:rsidP="00000000" w:rsidRDefault="00000000" w:rsidRPr="00000000" w14:paraId="00000036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התשלום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בגין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היועצים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הנוספים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המוגדרים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1.11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למסמך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חוברת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למעט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מנהל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ראש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הצוות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מהנדס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תהליך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מהנדס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אזרחי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אדריכל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אדריכל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נוף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מהנדס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קונסטרוקציה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מהנדס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חשמל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ובקרה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הכלולים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בשכר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הטרחה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בגין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יועצים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נוספים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הנדרשים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ביצוע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אינם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מוגדרים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1.11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למסמך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חוברת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יהיה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לקבוע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1.1.4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למסמך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מחודש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אוקטובר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2018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בכפוף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לאמור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13" w:right="37" w:hanging="283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הזוכה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להביא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במסגרת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הימים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הקבועה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1.8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לנספח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12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במסמך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'-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חוברת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, 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שלוש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הצעות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מחיר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לכל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אחת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הדיסציפלינות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המפורטות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1.11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למסמך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' –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חוברת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למעט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לדיסציפלינות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הכלולות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בשכר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הטרחה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כאמור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לעיל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ממתכננים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העומדים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בדרישות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המינימאליות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המוגדרות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בסעיפים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1.5 – 1.7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בנספח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12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למסמך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' –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חוברת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לקבל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התאגידים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מראש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ובכתב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למתכנן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איתו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יתקשר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כאמור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בהוראות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הסכם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ההתקשרות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ונספחיו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13" w:right="37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13" w:right="37" w:hanging="283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מובהר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למען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הסר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ספק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לתאגידים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שמורה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הזכות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שלא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לקבל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ולאשר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אחד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המתכננים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המוצעים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ידי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הזוכה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מפאת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מחיר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שכר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הטרחה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המוצע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ידם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13" w:right="37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במקרה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יהיו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רשאים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התאגידים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להכפיף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למציע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שיזכה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מתכנן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מטעם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התאגידים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להלן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: "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מתכנן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ממונה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")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עימו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יידרש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הזוכה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לחתום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הסכם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התקשרות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במישרין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ללא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מעורבות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התאגידים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מלבד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המחיר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שסוכם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התאגידים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למתכנן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הממונה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).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13" w:right="37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305" w:right="37" w:hanging="284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אחוז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ההנחה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שיוצע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ידי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הזוכה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בהתאמה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אחוז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עמלת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הזוכה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כאמור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.1.14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למסמך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רשות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מחודש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אוקטובר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2018</w:t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4.6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מחולקות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למספר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שלבים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'1,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שהובהר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במפגש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תעריף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1.1.8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תשולם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למתכנן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תוספת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25%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שדרוג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במפעל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4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הבהרתכם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התשלום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למתכנן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תוספת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46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הפרויקט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הרחבת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ולכן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הוראות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1.1.8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למסמך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.</w:t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13, 86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+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4.6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</w:t>
            </w:r>
          </w:p>
          <w:p w:rsidR="00000000" w:rsidDel="00000000" w:rsidP="00000000" w:rsidRDefault="00000000" w:rsidRPr="00000000" w14:paraId="0000004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1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בנספח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מפרט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שירותי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שבנספח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4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':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מפורט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הקרוב</w:t>
            </w:r>
          </w:p>
          <w:p w:rsidR="00000000" w:rsidDel="00000000" w:rsidP="00000000" w:rsidRDefault="00000000" w:rsidRPr="00000000" w14:paraId="0000004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':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כללי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העשורים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הקרובים</w:t>
            </w:r>
          </w:p>
          <w:p w:rsidR="00000000" w:rsidDel="00000000" w:rsidP="00000000" w:rsidRDefault="00000000" w:rsidRPr="00000000" w14:paraId="0000004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מחולק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הוא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שלבים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'1 </w:t>
            </w:r>
          </w:p>
          <w:p w:rsidR="00000000" w:rsidDel="00000000" w:rsidP="00000000" w:rsidRDefault="00000000" w:rsidRPr="00000000" w14:paraId="0000005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מיידי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לטיפול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בצווארי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בקבוק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בתהליך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</w:p>
          <w:p w:rsidR="00000000" w:rsidDel="00000000" w:rsidP="00000000" w:rsidRDefault="00000000" w:rsidRPr="00000000" w14:paraId="0000005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'2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יתר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המבנים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לשלב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'. </w:t>
            </w:r>
          </w:p>
          <w:p w:rsidR="00000000" w:rsidDel="00000000" w:rsidP="00000000" w:rsidRDefault="00000000" w:rsidRPr="00000000" w14:paraId="0000005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תינתן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אפשרות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הצעת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מחיר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לשלב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'1 </w:t>
            </w:r>
          </w:p>
          <w:p w:rsidR="00000000" w:rsidDel="00000000" w:rsidP="00000000" w:rsidRDefault="00000000" w:rsidRPr="00000000" w14:paraId="0000005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בנפרד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הערכת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מחיר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לשלב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56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מסמך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מכרז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1.13 -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תמורה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מגדירים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בשכ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מתכנן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מערכות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תהליך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קונס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חשמל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פיתוח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שטח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אדריכלות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ואתם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התעריף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אחוז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הנחה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מנגד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שהמתכנן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יקח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בשכר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הנחה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היועצים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הקיימים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לצורך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השלמת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מפורט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ותבע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מדידות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קידוחים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ובדיקות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מעבדה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היועצים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השונים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להכנת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נספחי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תבע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היועצים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השונים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להכנת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היתר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הבניה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5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מעמיסים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משרד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בסביבות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+20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יועצים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נוספים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השכר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שלהם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מוערך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בכמה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מיליוני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שקלים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שכר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היועצים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במתקנים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גדולים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כאלה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יכול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שכר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המתכנן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הראשי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סוכמים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ביחד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בלי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לשכוח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שהשכר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המקורי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בתוכו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חשמל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וקונס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ואדריכל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להיתר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ועוד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בפרויקטים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דומים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היועצים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המתכנן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נהוג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לתמחר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בתוספת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בהנחה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בסיס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תעריף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5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מטשים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שרק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הבדיקות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קרקע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הקידוחים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והייעוץ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הגיעו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-2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מלשח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מתכנן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יכול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לממן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שכר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בהיקף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כשהתכנון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בגינו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יסתיים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במקרה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הטוב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שנתיים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והשכר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אולי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?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שתבדקו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האפשרות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התמורה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שאתם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משלמים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להוריד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חלק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מהיועצים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העיקרים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שבהם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מודדים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קידוחי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קרקע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בדיקות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מעבדה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יועצים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</w:t>
            </w:r>
          </w:p>
        </w:tc>
        <w:tc>
          <w:tcPr/>
          <w:p w:rsidR="00000000" w:rsidDel="00000000" w:rsidP="00000000" w:rsidRDefault="00000000" w:rsidRPr="00000000" w14:paraId="0000005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תשובה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לשאלה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3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לעיל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המסדירה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האמור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בשאלה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מסמך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מכרז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1.11.1.15 -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תמורה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להוריד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השורה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הכללית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להתייחס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אליה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לצרכי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תימחור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יועץ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יידרש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</w:p>
          <w:p w:rsidR="00000000" w:rsidDel="00000000" w:rsidP="00000000" w:rsidRDefault="00000000" w:rsidRPr="00000000" w14:paraId="0000006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אפילו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תצליחו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להחריג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להוציא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היועצים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נצליח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להסתדר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השאר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מסמך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מכרז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2.6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ערבות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מכרז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תוקף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לערבות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למכרז</w:t>
            </w:r>
          </w:p>
        </w:tc>
        <w:tc>
          <w:tcPr/>
          <w:p w:rsidR="00000000" w:rsidDel="00000000" w:rsidP="00000000" w:rsidRDefault="00000000" w:rsidRPr="00000000" w14:paraId="0000006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21/10/2025</w:t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1.2.2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למט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הקיים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היתר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בניה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ואישור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אכלוס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המתכנן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יטפל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ברחבת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כחלק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מהליך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הסדרה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יצטרך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הזוכה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לטפל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בהסדרת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חריגות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73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מבלי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לגרוע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האמור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מובהר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למען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ספק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רישיון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עסק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וכפועל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יוצא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האישורים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הנלווים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הנדרשים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.</w:t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6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1.2.2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למט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הקיים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תב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בתוקף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ובמידה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וכן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התב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כוללת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שטחים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נדרשים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להרחבה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בתוקף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B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השטחים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שידרשו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להרחבה</w:t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1.10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bidi w:val="1"/>
              <w:spacing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בכל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הנוגע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לאסדרה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סטטוטורית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ובעיקר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בטיפול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בתב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חדשה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הרי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שזו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מומחיות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משרדי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אדריכלים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ייעודיים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לנושא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ולא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חברות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בנוסף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לנוהל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רשות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המצורף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כנספח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תכולה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זו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אינה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כלולה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בתעריפי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התכנון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82">
            <w:pPr>
              <w:bidi w:val="1"/>
              <w:spacing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נבקש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להחריג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נושא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הטיפול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הסטטוטורי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מתכולת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שירותי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המתכנן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3">
            <w:pPr>
              <w:bidi w:val="1"/>
              <w:spacing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שאלה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זו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נוגעת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לסעיף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1.10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בנספח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בעמוד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87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ולסעיף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4.11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בנספח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בעמוד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90</w:t>
            </w:r>
          </w:p>
          <w:p w:rsidR="00000000" w:rsidDel="00000000" w:rsidP="00000000" w:rsidRDefault="00000000" w:rsidRPr="00000000" w14:paraId="0000008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תשובה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לשאלה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3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לעיל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המסדירה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האמור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בשאלה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זו</w:t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1.11.1.13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bidi w:val="1"/>
              <w:spacing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להבהיר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מדובר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תסקיר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השפעה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הסביבה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ובמידה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ויידרש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יתומחר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בנפרד</w:t>
            </w:r>
          </w:p>
        </w:tc>
        <w:tc>
          <w:tcPr/>
          <w:p w:rsidR="00000000" w:rsidDel="00000000" w:rsidP="00000000" w:rsidRDefault="00000000" w:rsidRPr="00000000" w14:paraId="0000008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תשובה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לשאלה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3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לעיל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המסדירה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האמור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בשאלה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זו</w:t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2.4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bidi w:val="1"/>
              <w:spacing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נראה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נפלה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טעות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סופר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ונרשם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000,15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מק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והכוונה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15,000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מק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סופר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הכמות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15,000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13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4.2.11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bidi w:val="1"/>
              <w:spacing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3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נראה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נפלה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טעות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סופר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ונרשם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000,10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מק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והכווה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10,000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מק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סופר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10,000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36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bidi w:val="1"/>
              <w:spacing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</w:t>
            </w:r>
          </w:p>
          <w:p w:rsidR="00000000" w:rsidDel="00000000" w:rsidP="00000000" w:rsidRDefault="00000000" w:rsidRPr="00000000" w14:paraId="0000009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מעבר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לניסיון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הנדרש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הקבוע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 2.4 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למסמך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' – 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חוברת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בגין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מתקן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אחד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נוסף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לטיפול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בשפכים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אינטנסיביים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מעבר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לקבוע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שבסעיף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 2.4 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יהיה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זכאי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- 5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נק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32"/>
                <w:szCs w:val="32"/>
                <w:rtl w:val="1"/>
              </w:rPr>
              <w:t xml:space="preserve">למתקן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bidi w:val="1"/>
              <w:spacing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שינתנו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15,000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בלי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לעמידה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2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42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line="360" w:lineRule="auto"/>
              <w:jc w:val="righ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</w:t>
            </w:r>
          </w:p>
          <w:p w:rsidR="00000000" w:rsidDel="00000000" w:rsidP="00000000" w:rsidRDefault="00000000" w:rsidRPr="00000000" w14:paraId="000000A4">
            <w:pPr>
              <w:bidi w:val="1"/>
              <w:spacing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10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3.1.1.11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bidi w:val="1"/>
              <w:spacing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לכך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שדוח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רואה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החשבון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המיוחד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אמור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להינתן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במסגרת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הינו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במתכונת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נתונים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מתוך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הדוחות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הכספיים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ציון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הכנסות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צבועות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במחזור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הכספי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משירותי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),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ובהתאם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לכך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שציון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המחזור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הינו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ספציפי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לזרם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הכנסות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מסוים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ואין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ביאור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כך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בדוחות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הכספיים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7">
            <w:pPr>
              <w:bidi w:val="1"/>
              <w:spacing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אזי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דוח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רואה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חשבון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מיוחד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במתכונת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אלא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במתכונת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חוות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דעת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8">
            <w:pPr>
              <w:bidi w:val="1"/>
              <w:spacing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סימוכין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לכך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לראות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בתקן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ביקורת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ישראל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3500 "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דוחות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מיוחדים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רואי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חשבון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לשכת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רואי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חשבון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9">
            <w:pPr>
              <w:bidi w:val="1"/>
              <w:spacing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10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מדבר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דוח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מיוחד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במתכונת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ביקורת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הכולל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פסקת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מבוא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וכו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..)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וסעיף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11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מדבר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ציון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נתונים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בדוחות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הכספיים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A">
            <w:pPr>
              <w:bidi w:val="1"/>
              <w:spacing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הדוח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המיוחד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במכרז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נתונים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u w:val="single"/>
                <w:rtl w:val="1"/>
              </w:rPr>
              <w:t xml:space="preserve">שאין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u w:val="single"/>
                <w:rtl w:val="1"/>
              </w:rPr>
              <w:t xml:space="preserve">אפשרות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לציין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אותם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מתוך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הדוחות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הכספיים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u w:val="single"/>
                <w:rtl w:val="1"/>
              </w:rPr>
              <w:t xml:space="preserve">ואינו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u w:val="single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u w:val="single"/>
                <w:rtl w:val="1"/>
              </w:rPr>
              <w:t xml:space="preserve">פסקאות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u w:val="single"/>
                <w:rtl w:val="1"/>
              </w:rPr>
              <w:t xml:space="preserve">במתכונת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u w:val="singl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u w:val="single"/>
                <w:rtl w:val="1"/>
              </w:rPr>
              <w:t xml:space="preserve">ביקורת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u w:val="single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u w:val="single"/>
                <w:rtl w:val="1"/>
              </w:rPr>
              <w:t xml:space="preserve">לסעיף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u w:val="single"/>
                <w:rtl w:val="1"/>
              </w:rPr>
              <w:t xml:space="preserve"> 10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כאמור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ולכן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מוביל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לשאלות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הבאות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AB">
            <w:pPr>
              <w:bidi w:val="1"/>
              <w:spacing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3"/>
              </w:numPr>
              <w:bidi w:val="1"/>
              <w:spacing w:line="360" w:lineRule="auto"/>
              <w:ind w:left="720" w:hanging="36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לשנות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נוסח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לנוסח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ביקורת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A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אפשרות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להשמיט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המילה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מתכנון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ולהשאיר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– "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הריני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לאשר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לאותם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דוחות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כספיים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הכנסות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החברה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הינן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כדלקמן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:.."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ואז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תהיה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בעיה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נוסח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ובלבד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יפעל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לכתוב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בהערת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השוליים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ישתנה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במקרים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דעת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רואה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חשבון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השונה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מהנוסח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במקרים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לציין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סוג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הדעת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שניתנה</w:t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64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line="360" w:lineRule="auto"/>
              <w:jc w:val="righ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הסכם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10.4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bidi w:val="1"/>
              <w:spacing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אבני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הדרך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לתשלום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אינן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תואמות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אבני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הדרך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המוצגות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במסמך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רשות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שכר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טרחה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למתכננים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המצורף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כנספח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למסמכי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נבקש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להבהיר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אבני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הדרך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לתשלום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הנן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למסמך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רשות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המים</w:t>
            </w:r>
          </w:p>
        </w:tc>
        <w:tc>
          <w:tcPr/>
          <w:p w:rsidR="00000000" w:rsidDel="00000000" w:rsidP="00000000" w:rsidRDefault="00000000" w:rsidRPr="00000000" w14:paraId="000000B4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אבני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הדרך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לתשלום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הינם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המופיע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בחוזה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6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90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line="360" w:lineRule="auto"/>
              <w:jc w:val="righ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4.12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bidi w:val="1"/>
              <w:spacing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נבקש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להבהיר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ביצוע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סקר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עצים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מבוצע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יועץ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מטעם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לחילופין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מטעם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המתכנן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לסעיף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...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במסמך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שכ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ט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למתכננים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רשות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המים</w:t>
            </w:r>
          </w:p>
        </w:tc>
        <w:tc>
          <w:tcPr/>
          <w:p w:rsidR="00000000" w:rsidDel="00000000" w:rsidP="00000000" w:rsidRDefault="00000000" w:rsidRPr="00000000" w14:paraId="000000BA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תשובה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לשאלה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3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לעיל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המסדירה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האמור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בשאלה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זו</w:t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90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line="360" w:lineRule="auto"/>
              <w:jc w:val="righ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4.15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bidi w:val="1"/>
              <w:spacing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נבקש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להבהיר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הכנת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דוח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נגישות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מבוצע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יועץ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מטעם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לחילופין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מטעם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המתכנן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לסעיף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...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במסמך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שכ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ט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למתכננים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רשות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המים</w:t>
            </w:r>
          </w:p>
        </w:tc>
        <w:tc>
          <w:tcPr/>
          <w:p w:rsidR="00000000" w:rsidDel="00000000" w:rsidP="00000000" w:rsidRDefault="00000000" w:rsidRPr="00000000" w14:paraId="000000C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תשובה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לשאלה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3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לעיל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המסדירה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האמור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בשאלה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זו</w:t>
            </w:r>
          </w:p>
        </w:tc>
      </w:tr>
    </w:tbl>
    <w:p w:rsidR="00000000" w:rsidDel="00000000" w:rsidP="00000000" w:rsidRDefault="00000000" w:rsidRPr="00000000" w14:paraId="000000C1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כבוד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ובברכה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0C3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C4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מיה</w:t>
      </w:r>
    </w:p>
    <w:sectPr>
      <w:headerReference r:id="rId7" w:type="default"/>
      <w:pgSz w:h="11906" w:w="16838" w:orient="landscape"/>
      <w:pgMar w:bottom="1800" w:top="180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5138"/>
      </w:tabs>
      <w:bidi w:val="1"/>
      <w:spacing w:after="0" w:before="0" w:line="240" w:lineRule="auto"/>
      <w:ind w:left="0" w:right="0" w:firstLine="0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</w:p>
  <w:p w:rsidR="00000000" w:rsidDel="00000000" w:rsidP="00000000" w:rsidRDefault="00000000" w:rsidRPr="00000000" w14:paraId="000000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51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maya</w:t>
    </w:r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הוד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השרון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F40C88"/>
  </w:style>
  <w:style w:type="paragraph" w:styleId="a5">
    <w:name w:val="footer"/>
    <w:basedOn w:val="a"/>
    <w:link w:val="a6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F40C88"/>
  </w:style>
  <w:style w:type="paragraph" w:styleId="a7">
    <w:name w:val="List Paragraph"/>
    <w:basedOn w:val="a"/>
    <w:link w:val="a8"/>
    <w:uiPriority w:val="34"/>
    <w:qFormat w:val="1"/>
    <w:rsid w:val="007A1E40"/>
    <w:pPr>
      <w:ind w:left="720"/>
      <w:contextualSpacing w:val="1"/>
    </w:pPr>
  </w:style>
  <w:style w:type="character" w:styleId="im" w:customStyle="1">
    <w:name w:val="im"/>
    <w:basedOn w:val="a0"/>
    <w:rsid w:val="00E46B33"/>
  </w:style>
  <w:style w:type="table" w:styleId="a9">
    <w:name w:val="Table Grid"/>
    <w:basedOn w:val="a1"/>
    <w:rsid w:val="006644B4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a">
    <w:name w:val="No Spacing"/>
    <w:uiPriority w:val="1"/>
    <w:qFormat w:val="1"/>
    <w:rsid w:val="005440C5"/>
    <w:pPr>
      <w:bidi w:val="1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8" w:customStyle="1">
    <w:name w:val="פיסקת רשימה תו"/>
    <w:basedOn w:val="a0"/>
    <w:link w:val="a7"/>
    <w:uiPriority w:val="34"/>
    <w:locked w:val="1"/>
    <w:rsid w:val="00AB46AA"/>
  </w:style>
  <w:style w:type="paragraph" w:styleId="ab">
    <w:name w:val="Revision"/>
    <w:hidden w:val="1"/>
    <w:uiPriority w:val="99"/>
    <w:semiHidden w:val="1"/>
    <w:rsid w:val="00953296"/>
    <w:pPr>
      <w:spacing w:after="0" w:line="240" w:lineRule="auto"/>
    </w:pPr>
  </w:style>
  <w:style w:type="character" w:styleId="fontstyle01" w:customStyle="1">
    <w:name w:val="fontstyle01"/>
    <w:basedOn w:val="a0"/>
    <w:rsid w:val="009D5392"/>
    <w:rPr>
      <w:b w:val="0"/>
      <w:bCs w:val="0"/>
      <w:i w:val="0"/>
      <w:iCs w:val="0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F3OIEE5nG47p1VDn/7vTz4c7Hw==">CgMxLjA4AHIhMUVCMVRyYzU4TFVmOGVqYnNyMS1haEx4dkN0OWFyQXRy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2025-05-18T09:45:00Z</dcterms:created>
  <dc:creator>rony shani</dc:creator>
</cp:coreProperties>
</file>