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מס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20/2024</w:t>
      </w:r>
    </w:p>
    <w:p w:rsidR="00000000" w:rsidDel="00000000" w:rsidP="00000000" w:rsidRDefault="00000000" w:rsidRPr="00000000" w14:paraId="00000002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מסגרת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למתן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שירותי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הנדסיים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ופרויקטים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וביוב</w:t>
      </w:r>
    </w:p>
    <w:p w:rsidR="00000000" w:rsidDel="00000000" w:rsidP="00000000" w:rsidRDefault="00000000" w:rsidRPr="00000000" w14:paraId="00000004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המועד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במכרז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120" w:line="360" w:lineRule="auto"/>
        <w:ind w:left="-482" w:right="-993" w:hanging="425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מזמינה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העומדים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הצעתם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מסגרת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שירותי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עבור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המרכז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120" w:line="360" w:lineRule="auto"/>
        <w:ind w:left="-482" w:right="-993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המועד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נספחיהן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להוראות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יתעדכן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ויהיה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, </w:t>
      </w:r>
    </w:p>
    <w:p w:rsidR="00000000" w:rsidDel="00000000" w:rsidP="00000000" w:rsidRDefault="00000000" w:rsidRPr="00000000" w14:paraId="00000008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יאוחר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מתאריך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 10.09.2024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12:00 .</w:t>
      </w:r>
    </w:p>
    <w:p w:rsidR="00000000" w:rsidDel="00000000" w:rsidP="00000000" w:rsidRDefault="00000000" w:rsidRPr="00000000" w14:paraId="00000009">
      <w:pPr>
        <w:tabs>
          <w:tab w:val="left" w:leader="none" w:pos="-483"/>
        </w:tabs>
        <w:bidi w:val="1"/>
        <w:spacing w:after="120" w:line="360" w:lineRule="auto"/>
        <w:ind w:left="-482" w:right="-993" w:firstLine="0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David" w:cs="David" w:eastAsia="David" w:hAnsi="David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הצעות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הקריטריונים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המפורטים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המפורסמים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hyperlink r:id="rId7">
        <w:r w:rsidDel="00000000" w:rsidR="00000000" w:rsidRPr="00000000">
          <w:rPr>
            <w:rFonts w:ascii="Arial" w:cs="Arial" w:eastAsia="Arial" w:hAnsi="Arial"/>
            <w:sz w:val="32"/>
            <w:szCs w:val="32"/>
            <w:u w:val="single"/>
            <w:rtl w:val="0"/>
          </w:rPr>
          <w:t xml:space="preserve">www.palgey-sharon.co.il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לשונית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לחלופין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במשרדי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ברחוב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11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'-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09:30-15:00 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בתאום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מראש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(074-7029763).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במסירה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1"/>
        </w:rPr>
        <w:t xml:space="preserve">פיזית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לתיבת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שבמשרדי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ברחוב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התע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11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קומה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2).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תפרסם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המופיעה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מעלה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עדכונים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שינויים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ובאחריות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משתתף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להתעדכן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בעדכונים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בהבהרות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שיפורסמו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מתחייבת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לקבל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הזולה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שיקול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דעתה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הבלעדי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תהא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לבטל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הליך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סיבה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ההוצאות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הכרוכות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הצעה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יחולו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במלואן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המציע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-483"/>
        </w:tabs>
        <w:bidi w:val="1"/>
        <w:spacing w:after="120" w:line="360" w:lineRule="auto"/>
        <w:ind w:left="-482" w:right="-993" w:hanging="425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למעט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התאריך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ההצעות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סתירה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בהודעה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לבין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האמור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יגברו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הוראות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המכרז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-483"/>
        </w:tabs>
        <w:bidi w:val="1"/>
        <w:spacing w:after="120" w:line="360" w:lineRule="auto"/>
        <w:ind w:left="0" w:right="-993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</w:p>
    <w:p w:rsidR="00000000" w:rsidDel="00000000" w:rsidP="00000000" w:rsidRDefault="00000000" w:rsidRPr="00000000" w14:paraId="00000013">
      <w:pPr>
        <w:tabs>
          <w:tab w:val="left" w:leader="none" w:pos="-483"/>
        </w:tabs>
        <w:bidi w:val="1"/>
        <w:spacing w:after="120" w:line="360" w:lineRule="auto"/>
        <w:ind w:left="0" w:right="-993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</w:p>
    <w:p w:rsidR="00000000" w:rsidDel="00000000" w:rsidP="00000000" w:rsidRDefault="00000000" w:rsidRPr="00000000" w14:paraId="00000014">
      <w:pPr>
        <w:tabs>
          <w:tab w:val="left" w:leader="none" w:pos="-483"/>
        </w:tabs>
        <w:bidi w:val="1"/>
        <w:spacing w:after="120" w:line="360" w:lineRule="auto"/>
        <w:ind w:left="0" w:right="-993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p w:rsidR="00000000" w:rsidDel="00000000" w:rsidP="00000000" w:rsidRDefault="00000000" w:rsidRPr="00000000" w14:paraId="00000015">
      <w:pPr>
        <w:bidi w:val="1"/>
        <w:spacing w:after="120" w:line="360" w:lineRule="auto"/>
        <w:ind w:left="537" w:right="-720" w:hanging="567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</w:t>
      </w:r>
    </w:p>
    <w:sectPr>
      <w:headerReference r:id="rId8" w:type="default"/>
      <w:footerReference r:id="rId9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bidi w:val="1"/>
      <w:spacing w:after="120" w:line="360" w:lineRule="auto"/>
      <w:ind w:right="-720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מ</w:t>
    </w:r>
  </w:p>
  <w:p w:rsidR="00000000" w:rsidDel="00000000" w:rsidP="00000000" w:rsidRDefault="00000000" w:rsidRPr="00000000" w14:paraId="00000019">
    <w:pPr>
      <w:bidi w:val="1"/>
      <w:spacing w:after="120" w:line="360" w:lineRule="auto"/>
      <w:ind w:right="-720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מייסודן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של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עריית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רעננה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והמועצה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המקומית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כוכב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יאיר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-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צור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יגאל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בע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מ</w:t>
    </w:r>
  </w:p>
  <w:p w:rsidR="00000000" w:rsidDel="00000000" w:rsidP="00000000" w:rsidRDefault="00000000" w:rsidRPr="00000000" w14:paraId="0000001A">
    <w:pPr>
      <w:bidi w:val="1"/>
      <w:spacing w:after="120" w:line="360" w:lineRule="auto"/>
      <w:ind w:right="-720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התע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"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ש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11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442511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ת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.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ד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2034 |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טלפון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 09-7655521 | 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פקס</w:t>
    </w:r>
    <w:r w:rsidDel="00000000" w:rsidR="00000000" w:rsidRPr="00000000">
      <w:rPr>
        <w:rFonts w:ascii="Arial" w:cs="Arial" w:eastAsia="Arial" w:hAnsi="Arial"/>
        <w:sz w:val="24"/>
        <w:szCs w:val="24"/>
        <w:rtl w:val="1"/>
      </w:rPr>
      <w:t xml:space="preserve">. 09-7655529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bidi w:val="1"/>
      <w:spacing w:line="360" w:lineRule="auto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928" w:hanging="360"/>
      </w:pPr>
      <w:rPr/>
    </w:lvl>
    <w:lvl w:ilvl="1">
      <w:start w:val="1"/>
      <w:numFmt w:val="lowerLetter"/>
      <w:lvlText w:val="%2."/>
      <w:lvlJc w:val="left"/>
      <w:pPr>
        <w:ind w:left="2648" w:hanging="360"/>
      </w:pPr>
      <w:rPr/>
    </w:lvl>
    <w:lvl w:ilvl="2">
      <w:start w:val="1"/>
      <w:numFmt w:val="lowerRoman"/>
      <w:lvlText w:val="%3."/>
      <w:lvlJc w:val="right"/>
      <w:pPr>
        <w:ind w:left="3368" w:hanging="180"/>
      </w:pPr>
      <w:rPr/>
    </w:lvl>
    <w:lvl w:ilvl="3">
      <w:start w:val="1"/>
      <w:numFmt w:val="decimal"/>
      <w:lvlText w:val="%4."/>
      <w:lvlJc w:val="left"/>
      <w:pPr>
        <w:ind w:left="4088" w:hanging="360"/>
      </w:pPr>
      <w:rPr/>
    </w:lvl>
    <w:lvl w:ilvl="4">
      <w:start w:val="1"/>
      <w:numFmt w:val="lowerLetter"/>
      <w:lvlText w:val="%5."/>
      <w:lvlJc w:val="left"/>
      <w:pPr>
        <w:ind w:left="4808" w:hanging="360"/>
      </w:pPr>
      <w:rPr/>
    </w:lvl>
    <w:lvl w:ilvl="5">
      <w:start w:val="1"/>
      <w:numFmt w:val="lowerRoman"/>
      <w:lvlText w:val="%6."/>
      <w:lvlJc w:val="right"/>
      <w:pPr>
        <w:ind w:left="5528" w:hanging="180"/>
      </w:pPr>
      <w:rPr/>
    </w:lvl>
    <w:lvl w:ilvl="6">
      <w:start w:val="1"/>
      <w:numFmt w:val="decimal"/>
      <w:lvlText w:val="%7."/>
      <w:lvlJc w:val="left"/>
      <w:pPr>
        <w:ind w:left="6248" w:hanging="360"/>
      </w:pPr>
      <w:rPr/>
    </w:lvl>
    <w:lvl w:ilvl="7">
      <w:start w:val="1"/>
      <w:numFmt w:val="lowerLetter"/>
      <w:lvlText w:val="%8."/>
      <w:lvlJc w:val="left"/>
      <w:pPr>
        <w:ind w:left="6968" w:hanging="360"/>
      </w:pPr>
      <w:rPr/>
    </w:lvl>
    <w:lvl w:ilvl="8">
      <w:start w:val="1"/>
      <w:numFmt w:val="lowerRoman"/>
      <w:lvlText w:val="%9."/>
      <w:lvlJc w:val="right"/>
      <w:pPr>
        <w:ind w:left="768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F40C88"/>
  </w:style>
  <w:style w:type="paragraph" w:styleId="a5">
    <w:name w:val="footer"/>
    <w:basedOn w:val="a"/>
    <w:link w:val="a6"/>
    <w:uiPriority w:val="99"/>
    <w:unhideWhenUsed w:val="1"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F40C88"/>
  </w:style>
  <w:style w:type="paragraph" w:styleId="a7">
    <w:name w:val="List Paragraph"/>
    <w:basedOn w:val="a"/>
    <w:uiPriority w:val="34"/>
    <w:qFormat w:val="1"/>
    <w:rsid w:val="007A1E40"/>
    <w:pPr>
      <w:ind w:left="720"/>
      <w:contextualSpacing w:val="1"/>
    </w:pPr>
  </w:style>
  <w:style w:type="character" w:styleId="im" w:customStyle="1">
    <w:name w:val="im"/>
    <w:basedOn w:val="a0"/>
    <w:rsid w:val="00E46B33"/>
  </w:style>
  <w:style w:type="character" w:styleId="Hyperlink">
    <w:name w:val="Hyperlink"/>
    <w:basedOn w:val="a0"/>
    <w:uiPriority w:val="99"/>
    <w:unhideWhenUsed w:val="1"/>
    <w:rsid w:val="00FE2D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FE2D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lgey-sharon.co.i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bI6YN33HWs2HXK8Nm7S7nLADQ==">CgMxLjAyCGguZ2pkZ3hzOAByITFpdWVaWkJ1VGhwUkF2d1NOUWpYNzI2dmgwTlJoU2dGeQ==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2024-09-04T06:37:00Z</dcterms:created>
  <dc:creator>rony shani</dc:creator>
</cp:coreProperties>
</file>