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jc w:val="righ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מענה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לשאלות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הבהרה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מכרז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12/2024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מכרז</w:t>
      </w:r>
      <w:r w:rsidDel="00000000" w:rsidR="00000000" w:rsidRPr="00000000">
        <w:rPr>
          <w:b w:val="1"/>
          <w:sz w:val="24"/>
          <w:szCs w:val="24"/>
          <w:rtl w:val="1"/>
        </w:rPr>
        <w:t xml:space="preserve"> 12/2024 -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להשכרה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בשיטת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החכר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ליסינג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תפעולי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למדידת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ספיקה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וכמות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שפכים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בקווים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גרביטציוניים</w:t>
      </w:r>
    </w:p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28.0" w:type="dxa"/>
        <w:jc w:val="left"/>
        <w:tblInd w:w="-10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1"/>
        <w:gridCol w:w="701"/>
        <w:gridCol w:w="1132"/>
        <w:gridCol w:w="1098"/>
        <w:gridCol w:w="7353"/>
        <w:gridCol w:w="4083"/>
        <w:tblGridChange w:id="0">
          <w:tblGrid>
            <w:gridCol w:w="761"/>
            <w:gridCol w:w="701"/>
            <w:gridCol w:w="1132"/>
            <w:gridCol w:w="1098"/>
            <w:gridCol w:w="7353"/>
            <w:gridCol w:w="4083"/>
          </w:tblGrid>
        </w:tblGridChange>
      </w:tblGrid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עמוד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ותת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שאלה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התאמה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תשובה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8.1.4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5.1.4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הקבלנים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המשתתפים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חברתנו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השתתפה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טרם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העובדה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שרק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חברתנו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השתתפה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במפגש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עלולה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להשפיע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תוקף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יכולתם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מציעים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אחרים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להשתתף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בהליך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צפוי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להתפרסם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המפגש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הרשמי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8.1.4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העוסק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בחובת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ההשתתפות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ישיבה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ישלח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למציעים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העובדה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השתתף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להשפיע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תוקף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1.6.3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3.6.3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1.6.3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ההתקשרות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3.6.3.,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במפרט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2.26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תקופת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ההתארגנות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תקופה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חתימת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ההתקשרות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30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לצורך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אספקה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והתקנה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והפעלה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ברצוננו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הטכנולוגיה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למימוש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מיובאת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העיכובים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הנוכחיים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בשרשראות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האספקה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העולמיות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ומגבלות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לוגיסטיות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תקופת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ההתארגנות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תאפשר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הזמנים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להאריך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תקופת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ההתארגנות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1.6.3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ובחוזה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3.6.3.1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לתנאים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בשוק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הבינלאומי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ולמציאות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הנוכחית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בשרשרת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האספקה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שוקל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לאפשר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גמישות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בלוחות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הזמנים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במקרה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עיכובים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בלתי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צפויים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הנובעים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מייבוא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הטכנולוגיה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התייחסותכם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לנושא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עמידה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בלוחות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הזמנים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והצלחה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בפרויקט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במצב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מנומק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בהמשך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1.12.13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1.12.13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ממשק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מבוקש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שעלויות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שיהיו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צדדים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שלישיים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כגון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ממשק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אספקת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החשמל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תבוצע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קבלן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האחזקה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התאגיד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הבקרות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8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8.1.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15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לסעיפים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2.2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ובנספח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8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-8.1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15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ניסיון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ואמות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לניקוד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איכות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מצוינת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מוכח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מכשירים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למדידת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שפכים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בקווים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גרביטציוניים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המפורטות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ברצוננו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שידוע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בוצעו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ובקונפיגורציה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שצוינו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הרלוונטי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חברתנו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נצבר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בעיקרו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ניטור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ובקרת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שפכים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בארץ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בהתקנה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ואחזוקה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בשווקים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הבינלאומיים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יישמנו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הטכנולוגיות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המתקדמות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להכיר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בינלאומי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-8.1?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שיכללו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בינלאומי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רלוונטי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בטכנולוגיות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שטרם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יושמו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להתייחסותכם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שההצעה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היכולות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הטכנולוגיות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הבינלאומי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יתקבל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בינלאומי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רלוונטי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בחו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ונספח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8.1?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שיכללו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התחשבות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בינלאומי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בטכנולוגיות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שטרם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הותקנו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במספרים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הבהרתכם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לוודא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להגיש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שתואמת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והטכנולוגיות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החדשות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להלן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תיקון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המפורט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2.2.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המפורט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מבוטל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במקומו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המפורט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להלן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2.2.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b w:val="1"/>
                <w:i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למדידת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ספיקה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וכמות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שפכים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בקווים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גרביטציוניים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המוצעת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הינה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עומדת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בהגדרה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1.1.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למסמך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' –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חוברת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סופקה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והותקנה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השנים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2019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ועד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למועד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פרסום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אצל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לקוח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לפחות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במס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': 1)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בארץ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כאשר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כוללת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לפחות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3 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במילים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שלוש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מכשירים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למדידת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ספיקה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וכמות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שפכים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בקווים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גרביטציונים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וניתן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עבורם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שירותי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תחזוקה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ותמיכה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טכנית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rPr>
                <w:b w:val="1"/>
                <w:i w:val="1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מובהר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בזאת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הניסיון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הנדרש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הינו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אדם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פרטי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התאגיד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המשפטי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המגיש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ההצעה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בלבד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אף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גורם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אחר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המעורב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בצורה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אחרת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בגוף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המגיש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.   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לשם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הוכחת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עמידתו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הסף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אסמכתאות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המעידות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עמידתו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סף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למפורט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להלן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bidi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הצהרה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המסומנת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כנספח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8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לחוברת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המרכז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והמהווה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חלק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בלתי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נפרד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ממכרז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ובה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מפורטים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כמות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המערכות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מדידת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הספיקה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אותם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סיפק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והתקין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כמות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מכשירי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מדידת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הספיקה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וכמות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שפכים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בקווים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גרביטציונים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שכללה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שמו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המלא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מזמין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המערכות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המפקח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מנהל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מטעם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וכן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טלפון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וכתובת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מהם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לצורך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יצירת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.           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ואישורים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בנוסח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המפורט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בנספח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8.1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לחוברת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u w:val="single"/>
                <w:rtl w:val="1"/>
              </w:rPr>
              <w:t xml:space="preserve">מהמזמינים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עליהם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הצהיר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בנספח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8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להמציא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אוטונומית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100,000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ליסינג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במודל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עסקי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מרכישה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נמוכה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לשקול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הפחתה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ליסינג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רכישה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לצרף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אוטונומית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החברה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בנוסח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המצורף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למסמכי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ומסומן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לחוברת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50,000 ₪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חמישים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שקלים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שהוצאה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בישראל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לבקשת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המשתתף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2.3.7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2.3.7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ניתנת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הזכות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לדרוש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תוקף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הארכתה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בעצמה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הגבלת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פירוט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לדחייתה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צדדי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העלול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להעמיס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וליצור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וודאות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לקצוב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האפשרות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לדחיית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ולהוסיף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פירוט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הסיבות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האפשריות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לדחייה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התנהלות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הוגנת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ושקופה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שינוי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בהוראות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9.3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להמציא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אוטונומית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200,000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ליסינג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במודל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עסקי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מרכישה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נמוכה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לפיכך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לשקול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הפחתה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ליסינג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רכישה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בנוגע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12.3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העוסק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הביצוע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להפקיד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אוטונומית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בלבד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להפקיד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בנקאית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אוטונומית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בלבד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- 50,000 ₪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חמישים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שקלים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הנוסח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המצורף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למסמכי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המסומן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',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13.5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יוכנס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מנגנון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ביחס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לדולר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יפחתו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תקופת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ההשכרה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בשיעור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10%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ההצעה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וזאת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למנוע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גילום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קיצוני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בהצעת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המלחמה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הוודאות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המאקרו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פיסקאלית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בעתיד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במבט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קדימה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לגופו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עניין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בהמשך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ביטול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זכייתו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המקורי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זכאי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פיצוי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הביטול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לתשלום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שבוצעה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בפועל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הפסקתה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צדדי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שעלול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לגרום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כספי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להוסיף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פירוט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הסיבות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האפשריות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לביטול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הזכייה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שקיפות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והוגנות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במיוחד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ההשלכות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הכספיות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הכבדות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שעלולות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מביטול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הזכייה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שינוי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בהוראות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13.4.10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13.4.10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ניקוי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אתרי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עבודה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וסילוק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פסולת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13.4.10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לנקות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ולסלק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פסולת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ועודפים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זיהינו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סתירה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1.5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בפרשה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העלולה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להוביל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לניקוי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וסילוק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הפסולת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13.4.10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הסופיות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והבלעדיות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לעניין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ניקוי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וסילוק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פסולת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נוספת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בפרשה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הסעיפים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1.5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למפרט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עוסק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בעבודות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ןאילו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13.4.10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עוסק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בניקוי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פסולת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הנוצרים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במסגרת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ביצוע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עבודת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הקבלן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13.8.1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13.8.1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ספיקה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שהותקן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נגנב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עקב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שאינן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תלויות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ספיקה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ולהתקינו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שנאבד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תשלום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פעמי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לחודש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120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חודשים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ליסינג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נושא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בעלויות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נוספות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גניבה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למכשירים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המושכרים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רשלנות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שהמכשירים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מבוטחים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כראוי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הדרישה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לתשלום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פעמי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בשווי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חודש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עשויה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חריגה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במצב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בפרוטוקול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שנשלח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למשתתף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גידור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למניע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גניבה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וונדליזם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18.1.1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18.1.1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שמנוסח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רחבה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הפסד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הוצאה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שייגרמו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מנוסח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רחבה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מוגבלת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שעלול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לחשוף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לסיכונים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כלכליים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ומשפטיים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להכניס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המגביל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לנזקים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שנגרמו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כתוצאה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מרשלנות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מחדל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ולציין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במפורש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נגרם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באשמה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ביטוח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יתחלק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הצדדים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הנזק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תוצאה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בשליטתנו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מרשלנות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רכוש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הפסדים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תוגבל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התחייבויותיו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פטור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פעולות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מפעולות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עובדיו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נציגיו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קבלנים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כלשהם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פטור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אירועים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בשליטתו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כגון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אסונות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טבע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טרור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מלחמות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שביתות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עיכובים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צפויים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בשרשראות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האספקה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עקיפים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תוצאתיים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תוצאתיים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הפסד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רווחים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אובדן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ממחדליו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הישירים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hanging="313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חובת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יתחייב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לכיסוי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שעלולים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להיגרם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לצדדים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לנכסים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שבבעלות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ולוודא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פוליסות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פעילות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תוגבל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כיסוי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למקובל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במכרזי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ליסינג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18.1.1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קובע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בסייפא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תוטל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הנובעים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הקשורים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לאספקה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במימוש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זכויותיו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התחייבויותיו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לפיכך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שינוי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בהוראות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C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18.3.2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18.3.2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הגבלת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להכניס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שמגביל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שנגרמו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מרשלנות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שמחריגים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הנזק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נגרם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ממחדלים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צדדים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אירועים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להכניס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שמגביל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הכיסוי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18.5.1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והמלצות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לשינויים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18.5.1: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18.5.1,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הוכח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לתביעה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להחריג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נגרם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להוכחת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פיצוי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18.5.1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ולהתנגד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שמחויב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תשלום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לפצות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מוצדקות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18.5.1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תוצאתיות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נובעים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מפעולותיו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והגנה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המחייב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להחזיק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נובעים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באחריותו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הפיצוי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והשיפוי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מגבלה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מחויב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18.5.1,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שהחיוב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פרופורציונלי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ולסיכון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הריאלי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18.5.1,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לפצות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ולשפות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הגורמים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הנלווים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לאחריות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הוכח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לתביעה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ולהחריג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מחדלים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להוכחת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ולערער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לנזקים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תוצאתיות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המחייב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להחזיק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תביעות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נובעים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מגבלה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הפיצוי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והשיפוי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שהחיוב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מוגבל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פרופורציונלי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לסיכון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הריאלי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ולגובה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E3">
            <w:pPr>
              <w:bidi w:val="1"/>
              <w:ind w:left="1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E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21.2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21.2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הגבלה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שהעברה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תותנה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בהסכמת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לגורם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שיכול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להמשיך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תנאים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מסחרי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מנגנון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לפיקוח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האינטרנט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ולוודא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המתפרסם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יכלול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מסחריים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רגישים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שעלולים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לפגוע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מבחינה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תחרותית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זכות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להתנגד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להעברה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להתנגד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להעברת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חשש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סביר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שהעברה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בהתחייבויותיו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תשפיע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לרעה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1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hanging="31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מושחר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17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לציין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בהצעתו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מפורשת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וברורה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הכלולים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והמהווים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לדעתו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שיקול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הבלעדי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והסופי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ביחס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לחברה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17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לגרוע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מהאמור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האופן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לציין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האמור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נוסף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שהוגשו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ההצעה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הכספית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הושחר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שלדעת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מהווה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מסחרי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מקצועי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לגלותו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יסומן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סודיות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מסחרית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ויצורף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כמסמך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17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מחויבת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דעתו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הסדר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שהחברה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תבחר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לגלותו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תודיע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גילוי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החלטתה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המידע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שבכוונתה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ותינתן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לערער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החלטה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17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יגיש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מושחר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רשאית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הצעתו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המלאה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פרטיה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ותנאיה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שיקול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דעתה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הבלעדי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הודעה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מוקדמת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68" w:right="0" w:hanging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4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1.8 -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תחזוקת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1.8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למפרט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נכתב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תצריך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למעט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אירועים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חריגים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ויוצאי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."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תקופתית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להוראות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היצרן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תקינות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תבוצע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תוספת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תשלום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מקובלת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2.1.6.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2.1.6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להציג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ממשרד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התקשורת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לאיכות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הסביבה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המתירים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להפעיל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המוצעת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בתדרי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הרדיו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מופעלת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ובתאי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יידרשו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בפועל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כלומר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כלשהו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מהמשרדים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המצוינים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המוצעת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תדרוש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ספציפיים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בתדרים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ובתנאים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המצוינים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ותהיינה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התקשורת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רגולטור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להצגת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אותם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2.5 -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מתקן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בדיקה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במעבדת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כיול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מאושרת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להחזיק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במתקן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במעבדת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מאושרת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לבדיקת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דיוק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בארץ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מתקן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לתכנון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ומאושר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בישראל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מוסמכת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לביצוע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הספציפיות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הללו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בפרוטוקולים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ותכניות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המותאמים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ומאושרים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שיסופקו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יאשרו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נבנתה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וכיולה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לתקנים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ולפרוטוקולים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המקובלים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האפשרויות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הזמינות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בארץ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בנוסף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לציין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מתקן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לארץ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סבירה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טכנולוגית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וכלכלית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ועלולה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להעמיס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סבירות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להימנע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חיישני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הדופלר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הרדאר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להסתמך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יקר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ומורכב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שיסופקו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יאשרו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נבנתה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וכיולה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לתקנים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ולפרוטוקולים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המקובלים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ותואם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מפרט</w:t>
            </w:r>
          </w:p>
          <w:p w:rsidR="00000000" w:rsidDel="00000000" w:rsidP="00000000" w:rsidRDefault="00000000" w:rsidRPr="00000000" w14:paraId="000001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ותואם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מפרט</w:t>
            </w:r>
          </w:p>
          <w:p w:rsidR="00000000" w:rsidDel="00000000" w:rsidP="00000000" w:rsidRDefault="00000000" w:rsidRPr="00000000" w14:paraId="000001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בדיקת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צריכה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להיעשות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לשנתיים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במעבדת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היצרן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בוררות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עתידית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הלקוח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שביקש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הבוררות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האופציה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נוכח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המכשיר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במעבדת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היצרן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2.7 -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הפרעות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בשוחות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כביש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4 ,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מט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וצור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2.7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נכתב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דיוק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המדידה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מושפע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הליניאריות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הזרימה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וקיימת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בציר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הנגרמת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מחצץ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משקעי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עכירות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חריגה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יתכנן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ויבנה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קליטה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זיהינו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3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בכביש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4 ,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ובצור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שעלולה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להשפיע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דיוק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המדידה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כיצד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מתכוון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לטפל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בהפרעות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תכנון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לבניית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קליטה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באזורים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2.7.</w:t>
            </w:r>
          </w:p>
          <w:p w:rsidR="00000000" w:rsidDel="00000000" w:rsidP="00000000" w:rsidRDefault="00000000" w:rsidRPr="00000000" w14:paraId="000001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שניתן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במיקומים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למצוא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שוחת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במורד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הזרם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תהיינה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2.15 -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שידור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ותקשורת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2.15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תהיינה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יציאות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דיגיטליות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לבקר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תקשורת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שיסופק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לתקשורת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יציאות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דיגיטליות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תקשורת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MODBUS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", 4-20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שתאושר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המוצעת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משדרת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עצמאי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בשיטת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שידור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שתפורט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בנוסף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שידור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התקשורת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מקובל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יציאות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אנלוגיות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דיגיטליות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ספציפיות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השיטה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העצמאית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אספקת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החשמל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תבוצע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קבלן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האחזקה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התאגיד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הבקרות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2.1.7</w:t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2.1.7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נכתב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נתוני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והכמות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יועברו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רציף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24/7,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הפיקוד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והבקרה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הכוונה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המדויקת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לשידור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הפסקות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הפיקוד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והבקרה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לשאלות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מיטבי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נכתב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במפרט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2.18)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הדגימה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דקות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2.19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2.19 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קריאת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נתונים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בטכנולוגיית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Bluetooth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הכוונה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הקובע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תאפשר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קריאת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נתונים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בטכנולוגיית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Bluetooth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הכוונה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תכלול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מובנית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לקריאת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Bluetooth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בתוספת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ייעודי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ישנם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ספציפיות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לטכנולוגיית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Bluetooth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קריאת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Bluetooth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כתנאי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הכרחי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באפשרות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נוספת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לנקודות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המיטבית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החלופות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לתקנים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טכנולוגית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Bluetooth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הדרישה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קריטית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מקובל</w:t>
            </w:r>
          </w:p>
          <w:p w:rsidR="00000000" w:rsidDel="00000000" w:rsidP="00000000" w:rsidRDefault="00000000" w:rsidRPr="00000000" w14:paraId="0000019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2.20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2.20 -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התקנה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מראש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תאי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קולט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אבנים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סחף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2.20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למכרז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ובתא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מצטבר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סחף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משקעים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העשויים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לפגוע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יתכנן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ויבנה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קולט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סחף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במקביל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תחזוקה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וניקוי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קולט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האבנים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סחף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האתרים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המיועדים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עתידיות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מהרגע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הראשון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עשויה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לחסוך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ועלויות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תחזוקה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עתידיות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אופטימלית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כמקובל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במכשירי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שמירת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רציפות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תפקודית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בוררות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תהווה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רכישת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נוספת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שתותקן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במועד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פירוק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הנבדקת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תתווסף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למניין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במקומות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2.20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מתקיים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יתקין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קולט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כמפורט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במסמכי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הספק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לתמחר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נושא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בהצעתו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נושא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הבוררות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אפשרי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בהחלט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A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2.21.8</w:t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2.21.8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מוגן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פיצוץ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מדובר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הסימון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מוגנת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פיצוץ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2.29.3</w:t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2.29.3 -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התקנת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מצלמת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אבטחה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למערכת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הטעינה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הסולארית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87" w:right="0" w:hanging="33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2.29.3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נכתב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הטעינה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הסולארית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מצלמת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שתתממשק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הסולארית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87" w:right="0" w:hanging="33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מצלמת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משולבת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תתממשק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גבוהה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משמעותית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הסולארית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עצמה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ייתכן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לשקול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פתרונות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חלופיים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מגבלות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המצלמות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הנדרשות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האינטגרציה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לוודא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שהעלות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תישאר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סבירה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מטילה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נטל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כבד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תקציב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87" w:right="0" w:hanging="33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בנוגע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האבטחה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ולשיקולים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הכלכליים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הקשורים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בהתקנת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המצלמה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ונכונה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עניין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יבדק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התארגנות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להתקנה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וימצא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פתרון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3.1 -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הסכם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מעבדת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כיול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מאושרת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להגיש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חתום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מאושרת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המצהירה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ברשותה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מתקן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המוצעת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לתכנון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המעבדה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הכשרה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דיוק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ותקינות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ולהפיק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בדיקה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והוראות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שידוע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מהיכרותנו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והטכנולוגיה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החדישה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מעבדות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מוסמכות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רדאר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לבדיקת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מפלס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בשפכים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זרימה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רדאר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דופלר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בשילוב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מחשב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לפיכך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להציע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פתרונות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חלופיים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לאישור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כגון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במעבדות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בחו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צוותים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והפקת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מסמכים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להנחיות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היצרן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הבהרה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להתמודד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המקומי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תשובה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נתנה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המעבדה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מאושרת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התקינה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בארץ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המוצא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היצרן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הבהרה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תמונה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חסרה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השוחה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בצור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להבהיר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חסרה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תמונה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בצור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לינארית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בזרימת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השפכים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והפרעה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עשויה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להשפיע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תכנון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והתקנת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התמונה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החסרה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בהקדם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הנחיות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נוספות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להפרעה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הלינארית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בזרימה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למצוא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לבצע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התאמה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בשוחת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במעלה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במדרון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הזרם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שונות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בסעיפים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5.1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-5.2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ביטוח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מקצועית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גבולות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2,000,000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לאירוע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ובמצטבר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לתקופת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הביטוח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נבקש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להבהיר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עשויה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להוביל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לעלויות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גבוהות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יחסית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הכולל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בסדר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גודל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להכביד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משמעותית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תקציב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ולהשפיע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הסופית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נשמח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גמישות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להתאים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לגודל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ולסיכון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האמיתי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למנוע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פרופורציונליות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ביחס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כדי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לתת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מענה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נבקש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לקבל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עותק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מפוליסת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אחריות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מקצועית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התקפה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נספח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ביטוח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שאלות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כלליות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רכוש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מורחב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כוללת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רכוש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יומיומי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ייתכן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רחבה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במיוחד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בציוד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בשימוש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הכפלת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משולב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משולב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יוכפל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-4,000,000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כפולה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פרופורציונלית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בהשוואה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גמישות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במיוחד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קטנים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מעבידים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גבוהים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4.2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מעבידים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גבולות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20,000,000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מעורבים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קטן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עובדים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גורפת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גילוי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5.6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נדרשת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גילוי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חודשים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לצמצם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הגילוי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הסיכון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לתביעה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תנאים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וחריגים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בביטוחים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העדר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חריג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רבתי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נקבע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ייכלל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חריג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המבטח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רבתי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להוסיף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סייגים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מדובר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ברשלנות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חמורה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בשליטת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09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כלליות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תנאים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מחמירים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להקל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המפורטות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במיוחד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הכוללת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הביטוחים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פרופורציונלית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לסיכון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בפועל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להיקף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1E9">
            <w:pPr>
              <w:bidi w:val="1"/>
              <w:ind w:left="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הבהרות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בנוגע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הביטוחיות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תואמות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להיקף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הפרויקט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ולשמור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איזון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כלכלי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מתאים</w:t>
            </w:r>
          </w:p>
          <w:p w:rsidR="00000000" w:rsidDel="00000000" w:rsidP="00000000" w:rsidRDefault="00000000" w:rsidRPr="00000000" w14:paraId="000001E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hanging="31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רכוש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המהווה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חלק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והמשמש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hanging="31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מפוליסות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לבחון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גבולות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hanging="31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גבולות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האחריות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מעבידים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הינם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בהתאמה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לסטנדרט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המקובל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מפוליסת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לבחון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hanging="31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גילוי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מקצועית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פוליסה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תביעה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סטנדרטית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ומקובלת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10" w:right="0" w:hanging="31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נדחית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עם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קבלת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העתקי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פוליסות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הביטוח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נוכל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לבחון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מענה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1"/>
              </w:rPr>
              <w:t xml:space="preserve">לבקשתכם</w:t>
            </w:r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כללי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מועד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הגשת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מורכבות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והיותו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שידוע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מסוגו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הצורך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בבירור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ההבהרה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שהוגשו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מבקשים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להאריך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במינימום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עסקים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נוספים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התשובה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ההבהרה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נחוצה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לאפשר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להשלים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ההכנות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בארץ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|"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ולהגיש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מקצועית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ומדויקת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התואמת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אישורכם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להארכת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להבטיח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בדרישות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המכרז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בצורה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מיטבית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להגשת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ההצעות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ויפורסם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F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David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2">
    <w:pPr>
      <w:bidi w:val="1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1"/>
      </w:rPr>
      <w:t xml:space="preserve">מ</w:t>
    </w: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203">
    <w:pPr>
      <w:bidi w:val="1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התעש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 20234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`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895350</wp:posOffset>
          </wp:positionH>
          <wp:positionV relativeFrom="paragraph">
            <wp:posOffset>-449579</wp:posOffset>
          </wp:positionV>
          <wp:extent cx="7572375" cy="1122045"/>
          <wp:effectExtent b="0" l="0" r="0" t="0"/>
          <wp:wrapNone/>
          <wp:docPr descr="פלגי שרון&#10;תאגיד המים והביוב&#10;כפר סבא&#10;120&#10;יש רק אחת כזו" id="12" name="image1.jpg"/>
          <a:graphic>
            <a:graphicData uri="http://schemas.openxmlformats.org/drawingml/2006/picture">
              <pic:pic>
                <pic:nvPicPr>
                  <pic:cNvPr descr="פלגי שרון&#10;תאגיד המים והביוב&#10;כפר סבא&#10;120&#10;יש רק אחת כזו" id="0" name="image1.jpg"/>
                  <pic:cNvPicPr preferRelativeResize="0"/>
                </pic:nvPicPr>
                <pic:blipFill>
                  <a:blip r:embed="rId1"/>
                  <a:srcRect b="89555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1220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674" w:hanging="360"/>
      </w:pPr>
      <w:rPr/>
    </w:lvl>
    <w:lvl w:ilvl="2">
      <w:start w:val="1"/>
      <w:numFmt w:val="lowerRoman"/>
      <w:lvlText w:val="%3."/>
      <w:lvlJc w:val="right"/>
      <w:pPr>
        <w:ind w:left="2394" w:hanging="180"/>
      </w:pPr>
      <w:rPr/>
    </w:lvl>
    <w:lvl w:ilvl="3">
      <w:start w:val="1"/>
      <w:numFmt w:val="decimal"/>
      <w:lvlText w:val="%4."/>
      <w:lvlJc w:val="left"/>
      <w:pPr>
        <w:ind w:left="3114" w:hanging="360"/>
      </w:pPr>
      <w:rPr/>
    </w:lvl>
    <w:lvl w:ilvl="4">
      <w:start w:val="1"/>
      <w:numFmt w:val="lowerLetter"/>
      <w:lvlText w:val="%5."/>
      <w:lvlJc w:val="left"/>
      <w:pPr>
        <w:ind w:left="3834" w:hanging="360"/>
      </w:pPr>
      <w:rPr/>
    </w:lvl>
    <w:lvl w:ilvl="5">
      <w:start w:val="1"/>
      <w:numFmt w:val="lowerRoman"/>
      <w:lvlText w:val="%6."/>
      <w:lvlJc w:val="right"/>
      <w:pPr>
        <w:ind w:left="4554" w:hanging="180"/>
      </w:pPr>
      <w:rPr/>
    </w:lvl>
    <w:lvl w:ilvl="6">
      <w:start w:val="1"/>
      <w:numFmt w:val="decimal"/>
      <w:lvlText w:val="%7."/>
      <w:lvlJc w:val="left"/>
      <w:pPr>
        <w:ind w:left="5274" w:hanging="360"/>
      </w:pPr>
      <w:rPr/>
    </w:lvl>
    <w:lvl w:ilvl="7">
      <w:start w:val="1"/>
      <w:numFmt w:val="lowerLetter"/>
      <w:lvlText w:val="%8."/>
      <w:lvlJc w:val="left"/>
      <w:pPr>
        <w:ind w:left="5994" w:hanging="360"/>
      </w:pPr>
      <w:rPr/>
    </w:lvl>
    <w:lvl w:ilvl="8">
      <w:start w:val="1"/>
      <w:numFmt w:val="lowerRoman"/>
      <w:lvlText w:val="%9."/>
      <w:lvlJc w:val="right"/>
      <w:pPr>
        <w:ind w:left="671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674" w:hanging="360"/>
      </w:pPr>
      <w:rPr/>
    </w:lvl>
    <w:lvl w:ilvl="2">
      <w:start w:val="1"/>
      <w:numFmt w:val="lowerRoman"/>
      <w:lvlText w:val="%3."/>
      <w:lvlJc w:val="right"/>
      <w:pPr>
        <w:ind w:left="2394" w:hanging="180"/>
      </w:pPr>
      <w:rPr/>
    </w:lvl>
    <w:lvl w:ilvl="3">
      <w:start w:val="1"/>
      <w:numFmt w:val="decimal"/>
      <w:lvlText w:val="%4."/>
      <w:lvlJc w:val="left"/>
      <w:pPr>
        <w:ind w:left="3114" w:hanging="360"/>
      </w:pPr>
      <w:rPr/>
    </w:lvl>
    <w:lvl w:ilvl="4">
      <w:start w:val="1"/>
      <w:numFmt w:val="lowerLetter"/>
      <w:lvlText w:val="%5."/>
      <w:lvlJc w:val="left"/>
      <w:pPr>
        <w:ind w:left="3834" w:hanging="360"/>
      </w:pPr>
      <w:rPr/>
    </w:lvl>
    <w:lvl w:ilvl="5">
      <w:start w:val="1"/>
      <w:numFmt w:val="lowerRoman"/>
      <w:lvlText w:val="%6."/>
      <w:lvlJc w:val="right"/>
      <w:pPr>
        <w:ind w:left="4554" w:hanging="180"/>
      </w:pPr>
      <w:rPr/>
    </w:lvl>
    <w:lvl w:ilvl="6">
      <w:start w:val="1"/>
      <w:numFmt w:val="decimal"/>
      <w:lvlText w:val="%7."/>
      <w:lvlJc w:val="left"/>
      <w:pPr>
        <w:ind w:left="5274" w:hanging="360"/>
      </w:pPr>
      <w:rPr/>
    </w:lvl>
    <w:lvl w:ilvl="7">
      <w:start w:val="1"/>
      <w:numFmt w:val="lowerLetter"/>
      <w:lvlText w:val="%8."/>
      <w:lvlJc w:val="left"/>
      <w:pPr>
        <w:ind w:left="5994" w:hanging="360"/>
      </w:pPr>
      <w:rPr/>
    </w:lvl>
    <w:lvl w:ilvl="8">
      <w:start w:val="1"/>
      <w:numFmt w:val="lowerRoman"/>
      <w:lvlText w:val="%9."/>
      <w:lvlJc w:val="right"/>
      <w:pPr>
        <w:ind w:left="671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6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7C2455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7C245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C245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C245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C245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C245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C245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C245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C245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C245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C245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C245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C245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C245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C2455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C245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C2455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C245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C2455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C245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C24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C245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C24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C245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C2455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C2455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C2455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C245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C2455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7C2455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7C2455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7C2455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lGLUCZO1OFMMRu4mmsWCxTJ5A==">CgMxLjAyCGguZ2pkZ3hzMgloLjMwajB6bGwyCWguMWZvYjl0ZTgAciExOU5IaHJXVmZjTzJuWFFleVRHdW8zS3FyTEM0RjBTMGM=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2024-08-25T09:41:00Z</dcterms:created>
  <dc:creator>almogy</dc:creator>
</cp:coreProperties>
</file>